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16" w:rsidRPr="008B65E5" w:rsidRDefault="00B63916" w:rsidP="00B63916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OSNOVNA ŠKOLA „BRAĆA GLUMAC“</w:t>
      </w:r>
    </w:p>
    <w:p w:rsidR="00B63916" w:rsidRDefault="00B63916" w:rsidP="00B63916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Dolac 11 </w:t>
      </w:r>
    </w:p>
    <w:p w:rsidR="00B63916" w:rsidRPr="008B65E5" w:rsidRDefault="00B63916" w:rsidP="00B63916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20290 Lastovo</w:t>
      </w:r>
    </w:p>
    <w:p w:rsidR="00B63916" w:rsidRPr="008B65E5" w:rsidRDefault="00B63916" w:rsidP="00B63916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Broj RKP: 12296</w:t>
      </w:r>
    </w:p>
    <w:p w:rsidR="00B63916" w:rsidRPr="008B65E5" w:rsidRDefault="00B63916" w:rsidP="00B63916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Matični broj škole: 03324117</w:t>
      </w:r>
    </w:p>
    <w:p w:rsidR="00B63916" w:rsidRPr="008B65E5" w:rsidRDefault="00B63916" w:rsidP="00B63916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OIB škole: 80382692021</w:t>
      </w:r>
    </w:p>
    <w:p w:rsidR="00B63916" w:rsidRPr="008B65E5" w:rsidRDefault="00B63916" w:rsidP="00B63916">
      <w:pPr>
        <w:pStyle w:val="Bezproreda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AD21FA" w:rsidRDefault="0079757E" w:rsidP="0079757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D3264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OBRAZLOŽENJE </w:t>
      </w:r>
    </w:p>
    <w:p w:rsidR="0079757E" w:rsidRPr="007D3264" w:rsidRDefault="00B63916" w:rsidP="0079757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POLU</w:t>
      </w:r>
      <w:r w:rsidR="0079757E" w:rsidRPr="007D3264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GODIŠNJEG IZVJEŠTAJA O IZVRŠENJU FINANCIJSKOG PLANA </w:t>
      </w:r>
    </w:p>
    <w:p w:rsidR="00AD21FA" w:rsidRDefault="00B63916" w:rsidP="00B63916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 2024. GODINU</w:t>
      </w:r>
    </w:p>
    <w:p w:rsidR="00B63916" w:rsidRDefault="00B63916" w:rsidP="00B63916">
      <w:pPr>
        <w:keepNext/>
        <w:spacing w:after="0" w:line="276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9757E" w:rsidRPr="007D3264" w:rsidRDefault="0079757E" w:rsidP="000970F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D3264">
        <w:rPr>
          <w:rFonts w:ascii="Times New Roman" w:hAnsi="Times New Roman"/>
          <w:sz w:val="24"/>
          <w:szCs w:val="24"/>
          <w:lang w:eastAsia="hr-HR"/>
        </w:rPr>
        <w:tab/>
        <w:t xml:space="preserve">Zakonom o proračunu („Narodne novine“, broj 144/21.) i Pravilnikom o polugodišnjem i godišnjem izvještaju o izvršenju proračuna („Narodne novine“, broj 85/23.) propisan je sadržaj, podnošenje i donošenje </w:t>
      </w:r>
      <w:r w:rsidR="008E7C84">
        <w:rPr>
          <w:rFonts w:ascii="Times New Roman" w:hAnsi="Times New Roman"/>
          <w:sz w:val="24"/>
          <w:szCs w:val="24"/>
          <w:lang w:eastAsia="hr-HR"/>
        </w:rPr>
        <w:t xml:space="preserve">polugodišnjeg </w:t>
      </w:r>
      <w:r w:rsidRPr="007D3264">
        <w:rPr>
          <w:rFonts w:ascii="Times New Roman" w:hAnsi="Times New Roman"/>
          <w:sz w:val="24"/>
          <w:szCs w:val="24"/>
          <w:lang w:eastAsia="hr-HR"/>
        </w:rPr>
        <w:t xml:space="preserve">izvještaja o izvršenju financijskog plana proračunskog korisnika. </w:t>
      </w:r>
    </w:p>
    <w:p w:rsidR="0079757E" w:rsidRDefault="008E7C84" w:rsidP="000970F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Polugodišnji</w:t>
      </w:r>
      <w:r w:rsidR="0079757E" w:rsidRPr="007D3264">
        <w:rPr>
          <w:rFonts w:ascii="Times New Roman" w:hAnsi="Times New Roman"/>
          <w:sz w:val="24"/>
          <w:szCs w:val="24"/>
          <w:lang w:eastAsia="hr-HR"/>
        </w:rPr>
        <w:t xml:space="preserve"> izvještaj o izvršenju financijskog plana </w:t>
      </w:r>
      <w:r>
        <w:rPr>
          <w:rFonts w:ascii="Times New Roman" w:hAnsi="Times New Roman"/>
          <w:sz w:val="24"/>
          <w:szCs w:val="24"/>
          <w:lang w:eastAsia="hr-HR"/>
        </w:rPr>
        <w:t xml:space="preserve">za 2024. godinu </w:t>
      </w:r>
      <w:r w:rsidR="0079757E" w:rsidRPr="007D3264">
        <w:rPr>
          <w:rFonts w:ascii="Times New Roman" w:hAnsi="Times New Roman"/>
          <w:sz w:val="24"/>
          <w:szCs w:val="24"/>
          <w:lang w:eastAsia="hr-HR"/>
        </w:rPr>
        <w:t xml:space="preserve">Osnovne škole „Braća Glumac“ (u daljnjem tekstu: Škola) </w:t>
      </w:r>
      <w:r w:rsidR="00B465A9">
        <w:rPr>
          <w:rFonts w:ascii="Times New Roman" w:hAnsi="Times New Roman"/>
          <w:sz w:val="24"/>
          <w:szCs w:val="24"/>
          <w:lang w:eastAsia="hr-HR"/>
        </w:rPr>
        <w:t xml:space="preserve">sastavljen je za razdoblje 1. siječnja do 30. lipnja 2024. godine, a </w:t>
      </w:r>
      <w:r w:rsidR="0079757E" w:rsidRPr="007D3264">
        <w:rPr>
          <w:rFonts w:ascii="Times New Roman" w:hAnsi="Times New Roman"/>
          <w:sz w:val="24"/>
          <w:szCs w:val="24"/>
          <w:lang w:eastAsia="hr-HR"/>
        </w:rPr>
        <w:t>sadrži: opći dio, posebni dio te obrazloženje.</w:t>
      </w:r>
    </w:p>
    <w:p w:rsidR="00EE169B" w:rsidRPr="007D3264" w:rsidRDefault="00EE169B" w:rsidP="000970F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7D3264">
        <w:rPr>
          <w:rFonts w:ascii="Times New Roman" w:hAnsi="Times New Roman"/>
          <w:sz w:val="24"/>
          <w:szCs w:val="24"/>
          <w:lang w:eastAsia="hr-HR"/>
        </w:rPr>
        <w:t xml:space="preserve">Opći dio </w:t>
      </w:r>
      <w:r w:rsidR="00255E1B">
        <w:rPr>
          <w:rFonts w:ascii="Times New Roman" w:hAnsi="Times New Roman"/>
          <w:sz w:val="24"/>
          <w:szCs w:val="24"/>
          <w:lang w:eastAsia="hr-HR"/>
        </w:rPr>
        <w:t>polu</w:t>
      </w:r>
      <w:r w:rsidRPr="007D3264">
        <w:rPr>
          <w:rFonts w:ascii="Times New Roman" w:hAnsi="Times New Roman"/>
          <w:sz w:val="24"/>
          <w:szCs w:val="24"/>
          <w:lang w:eastAsia="hr-HR"/>
        </w:rPr>
        <w:t>godišnjeg izvještaja o izvršenju financijskog plana Škole sadrži:</w:t>
      </w:r>
    </w:p>
    <w:p w:rsidR="00EE169B" w:rsidRPr="007D3264" w:rsidRDefault="00EE169B" w:rsidP="000970F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D3264">
        <w:rPr>
          <w:rFonts w:ascii="Times New Roman" w:hAnsi="Times New Roman"/>
          <w:sz w:val="24"/>
          <w:szCs w:val="24"/>
          <w:lang w:eastAsia="hr-HR"/>
        </w:rPr>
        <w:t>sažetak Računa prihoda i rashoda te</w:t>
      </w:r>
    </w:p>
    <w:p w:rsidR="00EE169B" w:rsidRDefault="00EE169B" w:rsidP="000970F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7D3264">
        <w:rPr>
          <w:rFonts w:ascii="Times New Roman" w:hAnsi="Times New Roman"/>
          <w:sz w:val="24"/>
          <w:szCs w:val="24"/>
          <w:lang w:eastAsia="hr-HR"/>
        </w:rPr>
        <w:t>račun prihoda i rashoda.</w:t>
      </w:r>
    </w:p>
    <w:p w:rsidR="00823A8A" w:rsidRDefault="00EE169B" w:rsidP="000970F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EE169B">
        <w:rPr>
          <w:rFonts w:ascii="Times New Roman" w:hAnsi="Times New Roman"/>
          <w:sz w:val="24"/>
          <w:szCs w:val="24"/>
          <w:lang w:eastAsia="hr-HR"/>
        </w:rPr>
        <w:t xml:space="preserve">Opći dio sadrži ostvarenje/izvršenje </w:t>
      </w:r>
      <w:r>
        <w:rPr>
          <w:rFonts w:ascii="Times New Roman" w:hAnsi="Times New Roman"/>
          <w:sz w:val="24"/>
          <w:szCs w:val="24"/>
          <w:lang w:eastAsia="hr-HR"/>
        </w:rPr>
        <w:t xml:space="preserve">za razdoblje 1. siječnja do 30. lipnja </w:t>
      </w:r>
      <w:r w:rsidRPr="00EE169B">
        <w:rPr>
          <w:rFonts w:ascii="Times New Roman" w:hAnsi="Times New Roman"/>
          <w:sz w:val="24"/>
          <w:szCs w:val="24"/>
          <w:lang w:eastAsia="hr-HR"/>
        </w:rPr>
        <w:t>202</w:t>
      </w:r>
      <w:r>
        <w:rPr>
          <w:rFonts w:ascii="Times New Roman" w:hAnsi="Times New Roman"/>
          <w:sz w:val="24"/>
          <w:szCs w:val="24"/>
          <w:lang w:eastAsia="hr-HR"/>
        </w:rPr>
        <w:t>3</w:t>
      </w:r>
      <w:r w:rsidRPr="00EE169B">
        <w:rPr>
          <w:rFonts w:ascii="Times New Roman" w:hAnsi="Times New Roman"/>
          <w:sz w:val="24"/>
          <w:szCs w:val="24"/>
          <w:lang w:eastAsia="hr-HR"/>
        </w:rPr>
        <w:t xml:space="preserve">. godine, </w:t>
      </w:r>
      <w:r>
        <w:rPr>
          <w:rFonts w:ascii="Times New Roman" w:hAnsi="Times New Roman"/>
          <w:sz w:val="24"/>
          <w:szCs w:val="24"/>
          <w:lang w:eastAsia="hr-HR"/>
        </w:rPr>
        <w:t xml:space="preserve">I </w:t>
      </w:r>
      <w:r w:rsidRPr="00EE169B">
        <w:rPr>
          <w:rFonts w:ascii="Times New Roman" w:hAnsi="Times New Roman"/>
          <w:sz w:val="24"/>
          <w:szCs w:val="24"/>
          <w:lang w:eastAsia="hr-HR"/>
        </w:rPr>
        <w:t>rebalans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EE169B">
        <w:rPr>
          <w:rFonts w:ascii="Times New Roman" w:hAnsi="Times New Roman"/>
          <w:sz w:val="24"/>
          <w:szCs w:val="24"/>
          <w:lang w:eastAsia="hr-HR"/>
        </w:rPr>
        <w:t>financijskog plana</w:t>
      </w:r>
      <w:r>
        <w:rPr>
          <w:rFonts w:ascii="Times New Roman" w:hAnsi="Times New Roman"/>
          <w:sz w:val="24"/>
          <w:szCs w:val="24"/>
          <w:lang w:eastAsia="hr-HR"/>
        </w:rPr>
        <w:t xml:space="preserve"> za 2024. godinu</w:t>
      </w:r>
      <w:r w:rsidRPr="00EE169B">
        <w:rPr>
          <w:rFonts w:ascii="Times New Roman" w:hAnsi="Times New Roman"/>
          <w:sz w:val="24"/>
          <w:szCs w:val="24"/>
          <w:lang w:eastAsia="hr-HR"/>
        </w:rPr>
        <w:t xml:space="preserve">, ostvarenje/izvršenje </w:t>
      </w:r>
      <w:r>
        <w:rPr>
          <w:rFonts w:ascii="Times New Roman" w:hAnsi="Times New Roman"/>
          <w:sz w:val="24"/>
          <w:szCs w:val="24"/>
          <w:lang w:eastAsia="hr-HR"/>
        </w:rPr>
        <w:t xml:space="preserve">za razdoblje 1. siječnja do 30. lipnja </w:t>
      </w:r>
      <w:r w:rsidRPr="00EE169B">
        <w:rPr>
          <w:rFonts w:ascii="Times New Roman" w:hAnsi="Times New Roman"/>
          <w:sz w:val="24"/>
          <w:szCs w:val="24"/>
          <w:lang w:eastAsia="hr-HR"/>
        </w:rPr>
        <w:t>202</w:t>
      </w:r>
      <w:r>
        <w:rPr>
          <w:rFonts w:ascii="Times New Roman" w:hAnsi="Times New Roman"/>
          <w:sz w:val="24"/>
          <w:szCs w:val="24"/>
          <w:lang w:eastAsia="hr-HR"/>
        </w:rPr>
        <w:t>4</w:t>
      </w:r>
      <w:r w:rsidRPr="00EE169B">
        <w:rPr>
          <w:rFonts w:ascii="Times New Roman" w:hAnsi="Times New Roman"/>
          <w:sz w:val="24"/>
          <w:szCs w:val="24"/>
          <w:lang w:eastAsia="hr-HR"/>
        </w:rPr>
        <w:t xml:space="preserve">. godine, indeks (ostvarenje/izvršenje </w:t>
      </w:r>
      <w:r>
        <w:rPr>
          <w:rFonts w:ascii="Times New Roman" w:hAnsi="Times New Roman"/>
          <w:sz w:val="24"/>
          <w:szCs w:val="24"/>
          <w:lang w:eastAsia="hr-HR"/>
        </w:rPr>
        <w:t xml:space="preserve">1-6 </w:t>
      </w:r>
      <w:r w:rsidRPr="00EE169B">
        <w:rPr>
          <w:rFonts w:ascii="Times New Roman" w:hAnsi="Times New Roman"/>
          <w:sz w:val="24"/>
          <w:szCs w:val="24"/>
          <w:lang w:eastAsia="hr-HR"/>
        </w:rPr>
        <w:t>202</w:t>
      </w:r>
      <w:r>
        <w:rPr>
          <w:rFonts w:ascii="Times New Roman" w:hAnsi="Times New Roman"/>
          <w:sz w:val="24"/>
          <w:szCs w:val="24"/>
          <w:lang w:eastAsia="hr-HR"/>
        </w:rPr>
        <w:t>4</w:t>
      </w:r>
      <w:r w:rsidRPr="00EE169B">
        <w:rPr>
          <w:rFonts w:ascii="Times New Roman" w:hAnsi="Times New Roman"/>
          <w:sz w:val="24"/>
          <w:szCs w:val="24"/>
          <w:lang w:eastAsia="hr-HR"/>
        </w:rPr>
        <w:t xml:space="preserve">. / ostvarenje/izvršenje </w:t>
      </w:r>
      <w:r>
        <w:rPr>
          <w:rFonts w:ascii="Times New Roman" w:hAnsi="Times New Roman"/>
          <w:sz w:val="24"/>
          <w:szCs w:val="24"/>
          <w:lang w:eastAsia="hr-HR"/>
        </w:rPr>
        <w:t xml:space="preserve">1-6 </w:t>
      </w:r>
      <w:r w:rsidRPr="00EE169B">
        <w:rPr>
          <w:rFonts w:ascii="Times New Roman" w:hAnsi="Times New Roman"/>
          <w:sz w:val="24"/>
          <w:szCs w:val="24"/>
          <w:lang w:eastAsia="hr-HR"/>
        </w:rPr>
        <w:t>202</w:t>
      </w:r>
      <w:r>
        <w:rPr>
          <w:rFonts w:ascii="Times New Roman" w:hAnsi="Times New Roman"/>
          <w:sz w:val="24"/>
          <w:szCs w:val="24"/>
          <w:lang w:eastAsia="hr-HR"/>
        </w:rPr>
        <w:t>3</w:t>
      </w:r>
      <w:r w:rsidRPr="00EE169B">
        <w:rPr>
          <w:rFonts w:ascii="Times New Roman" w:hAnsi="Times New Roman"/>
          <w:sz w:val="24"/>
          <w:szCs w:val="24"/>
          <w:lang w:eastAsia="hr-HR"/>
        </w:rPr>
        <w:t xml:space="preserve">.) te indeks (ostvarenje/izvršenje </w:t>
      </w:r>
      <w:r>
        <w:rPr>
          <w:rFonts w:ascii="Times New Roman" w:hAnsi="Times New Roman"/>
          <w:sz w:val="24"/>
          <w:szCs w:val="24"/>
          <w:lang w:eastAsia="hr-HR"/>
        </w:rPr>
        <w:t xml:space="preserve">1-6 </w:t>
      </w:r>
      <w:r w:rsidRPr="00EE169B">
        <w:rPr>
          <w:rFonts w:ascii="Times New Roman" w:hAnsi="Times New Roman"/>
          <w:sz w:val="24"/>
          <w:szCs w:val="24"/>
          <w:lang w:eastAsia="hr-HR"/>
        </w:rPr>
        <w:t>202</w:t>
      </w:r>
      <w:r>
        <w:rPr>
          <w:rFonts w:ascii="Times New Roman" w:hAnsi="Times New Roman"/>
          <w:sz w:val="24"/>
          <w:szCs w:val="24"/>
          <w:lang w:eastAsia="hr-HR"/>
        </w:rPr>
        <w:t>4</w:t>
      </w:r>
      <w:r w:rsidRPr="00EE169B">
        <w:rPr>
          <w:rFonts w:ascii="Times New Roman" w:hAnsi="Times New Roman"/>
          <w:sz w:val="24"/>
          <w:szCs w:val="24"/>
          <w:lang w:eastAsia="hr-HR"/>
        </w:rPr>
        <w:t xml:space="preserve">. / I </w:t>
      </w:r>
      <w:r w:rsidR="00823A8A">
        <w:rPr>
          <w:rFonts w:ascii="Times New Roman" w:hAnsi="Times New Roman"/>
          <w:sz w:val="24"/>
          <w:szCs w:val="24"/>
          <w:lang w:eastAsia="hr-HR"/>
        </w:rPr>
        <w:t>rebalans za 2024</w:t>
      </w:r>
      <w:r w:rsidRPr="00EE169B">
        <w:rPr>
          <w:rFonts w:ascii="Times New Roman" w:hAnsi="Times New Roman"/>
          <w:sz w:val="24"/>
          <w:szCs w:val="24"/>
          <w:lang w:eastAsia="hr-HR"/>
        </w:rPr>
        <w:t>)</w:t>
      </w:r>
      <w:r w:rsidR="00823A8A">
        <w:rPr>
          <w:rFonts w:ascii="Times New Roman" w:hAnsi="Times New Roman"/>
          <w:sz w:val="24"/>
          <w:szCs w:val="24"/>
          <w:lang w:eastAsia="hr-HR"/>
        </w:rPr>
        <w:t>.</w:t>
      </w:r>
    </w:p>
    <w:p w:rsidR="00255E1B" w:rsidRPr="00EE169B" w:rsidRDefault="00255E1B" w:rsidP="000970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Posebni dio polugodišnjeg izvještaja o izvršenju financijskog plana Škole iskazan je u izvještaju po programskoj klasifikaciji.</w:t>
      </w:r>
    </w:p>
    <w:p w:rsidR="0079757E" w:rsidRDefault="008E7C84" w:rsidP="000970F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 xml:space="preserve">Obrazloženje polugodišnjeg izvještaja o izvršenju financijskog plana sastoji se od obrazloženja </w:t>
      </w:r>
      <w:r w:rsidRPr="008E7C84">
        <w:rPr>
          <w:rFonts w:ascii="Times New Roman" w:hAnsi="Times New Roman"/>
          <w:i/>
          <w:sz w:val="24"/>
          <w:szCs w:val="24"/>
          <w:lang w:eastAsia="hr-HR"/>
        </w:rPr>
        <w:t>općeg dijela</w:t>
      </w:r>
      <w:r>
        <w:rPr>
          <w:rFonts w:ascii="Times New Roman" w:hAnsi="Times New Roman"/>
          <w:sz w:val="24"/>
          <w:szCs w:val="24"/>
          <w:lang w:eastAsia="hr-HR"/>
        </w:rPr>
        <w:t xml:space="preserve"> izvještaja o izvršenju financijskog plana proračunskog korisnika.</w:t>
      </w:r>
    </w:p>
    <w:p w:rsidR="00A33240" w:rsidRDefault="008F2E04" w:rsidP="000970F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 w:rsidRPr="008F2E04">
        <w:rPr>
          <w:rFonts w:ascii="Times New Roman" w:hAnsi="Times New Roman"/>
          <w:sz w:val="24"/>
          <w:szCs w:val="24"/>
          <w:lang w:eastAsia="hr-HR"/>
        </w:rPr>
        <w:t xml:space="preserve">Obrazloženje općeg dijela </w:t>
      </w:r>
      <w:r w:rsidR="00255E1B">
        <w:rPr>
          <w:rFonts w:ascii="Times New Roman" w:hAnsi="Times New Roman"/>
          <w:sz w:val="24"/>
          <w:szCs w:val="24"/>
          <w:lang w:eastAsia="hr-HR"/>
        </w:rPr>
        <w:t xml:space="preserve">polugodišnjeg </w:t>
      </w:r>
      <w:r w:rsidRPr="008F2E04">
        <w:rPr>
          <w:rFonts w:ascii="Times New Roman" w:hAnsi="Times New Roman"/>
          <w:sz w:val="24"/>
          <w:szCs w:val="24"/>
          <w:lang w:eastAsia="hr-HR"/>
        </w:rPr>
        <w:t xml:space="preserve">izvještaja o izvršenju financijskog plana sadrži: </w:t>
      </w:r>
    </w:p>
    <w:p w:rsidR="00A33240" w:rsidRDefault="008F2E04" w:rsidP="000970F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33240">
        <w:rPr>
          <w:rFonts w:ascii="Times New Roman" w:hAnsi="Times New Roman"/>
          <w:sz w:val="24"/>
          <w:szCs w:val="24"/>
          <w:lang w:eastAsia="hr-HR"/>
        </w:rPr>
        <w:t>obrazloženje ostvarenja prihoda i rashoda, primitaka i izdataka u izvještajnom razdoblju,</w:t>
      </w:r>
    </w:p>
    <w:p w:rsidR="00823A8A" w:rsidRPr="00BA4ED0" w:rsidRDefault="008F2E04" w:rsidP="000970F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0" w:name="_Hlk171671525"/>
      <w:r w:rsidRPr="00A33240">
        <w:rPr>
          <w:rFonts w:ascii="Times New Roman" w:hAnsi="Times New Roman"/>
          <w:sz w:val="24"/>
          <w:szCs w:val="24"/>
          <w:lang w:eastAsia="hr-HR"/>
        </w:rPr>
        <w:t>obrazloženje prenesenog manjka odnosno viška iz prethodne godine i viška odnosno manjka za prijenos u sljedeću godinu/razdoblje</w:t>
      </w:r>
      <w:bookmarkEnd w:id="0"/>
      <w:r w:rsidRPr="00A33240">
        <w:rPr>
          <w:rFonts w:ascii="Times New Roman" w:hAnsi="Times New Roman"/>
          <w:sz w:val="24"/>
          <w:szCs w:val="24"/>
          <w:lang w:eastAsia="hr-HR"/>
        </w:rPr>
        <w:t>.</w:t>
      </w:r>
    </w:p>
    <w:p w:rsidR="00B8369F" w:rsidRDefault="00B8369F" w:rsidP="00BA4ED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BA4ED0" w:rsidRPr="00BA4ED0" w:rsidRDefault="00A33240" w:rsidP="005016EC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sz w:val="24"/>
          <w:szCs w:val="24"/>
          <w:lang w:eastAsia="hr-HR"/>
        </w:rPr>
        <w:t>O</w:t>
      </w:r>
      <w:r w:rsidRPr="00A33240">
        <w:rPr>
          <w:rFonts w:ascii="Times New Roman" w:hAnsi="Times New Roman"/>
          <w:b/>
          <w:i/>
          <w:sz w:val="24"/>
          <w:szCs w:val="24"/>
          <w:lang w:eastAsia="hr-HR"/>
        </w:rPr>
        <w:t>brazloženje ostvarenja prihoda i rashoda, primitaka i izdataka</w:t>
      </w:r>
    </w:p>
    <w:p w:rsidR="00864D3A" w:rsidRDefault="00BA4ED0" w:rsidP="000970F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ostvareni prihodi Škole u izvještajnom razdoblju iznose 346.554,83 eura, </w:t>
      </w:r>
      <w:r w:rsidR="000970F8">
        <w:rPr>
          <w:rFonts w:ascii="Times New Roman" w:hAnsi="Times New Roman"/>
          <w:sz w:val="24"/>
          <w:szCs w:val="24"/>
        </w:rPr>
        <w:t>što</w:t>
      </w:r>
      <w:r>
        <w:rPr>
          <w:rFonts w:ascii="Times New Roman" w:hAnsi="Times New Roman"/>
          <w:sz w:val="24"/>
          <w:szCs w:val="24"/>
        </w:rPr>
        <w:t xml:space="preserve"> je za 25,95% više o odnosu na prihode ostvarene u izvještajnom razdoblju prethodne godine. U odnosu na I rebalans za 2024. godinu, ostvareno je za 47,47% planiranih prihoda za 2024. godinu.</w:t>
      </w:r>
    </w:p>
    <w:p w:rsidR="00AD21FA" w:rsidRPr="00864D3A" w:rsidRDefault="00864D3A" w:rsidP="000970F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4D3A">
        <w:rPr>
          <w:rFonts w:ascii="Times New Roman" w:hAnsi="Times New Roman"/>
          <w:sz w:val="24"/>
          <w:szCs w:val="24"/>
        </w:rPr>
        <w:lastRenderedPageBreak/>
        <w:t>Ukupno</w:t>
      </w:r>
      <w:r>
        <w:rPr>
          <w:rFonts w:ascii="Times New Roman" w:hAnsi="Times New Roman"/>
          <w:sz w:val="24"/>
          <w:szCs w:val="24"/>
        </w:rPr>
        <w:t xml:space="preserve"> izvršeni rashodi u izvještajnom razdoblju</w:t>
      </w:r>
      <w:r w:rsidR="003B2D00">
        <w:rPr>
          <w:rFonts w:ascii="Times New Roman" w:hAnsi="Times New Roman"/>
          <w:sz w:val="24"/>
          <w:szCs w:val="24"/>
        </w:rPr>
        <w:t xml:space="preserve"> su rashodi poslovanja i</w:t>
      </w:r>
      <w:r>
        <w:rPr>
          <w:rFonts w:ascii="Times New Roman" w:hAnsi="Times New Roman"/>
          <w:sz w:val="24"/>
          <w:szCs w:val="24"/>
        </w:rPr>
        <w:t xml:space="preserve"> iznose 345.659,15 eura</w:t>
      </w:r>
      <w:r w:rsidR="000C7F98">
        <w:rPr>
          <w:rFonts w:ascii="Times New Roman" w:hAnsi="Times New Roman"/>
          <w:sz w:val="24"/>
          <w:szCs w:val="24"/>
        </w:rPr>
        <w:t>, što je za 25,78% više u odnosu na rashode izvršene u izvještajnom razdoblju prethodne godine, a za 47,30% su izvršeni u odnosu na I rebalans za 2024. godinu.</w:t>
      </w:r>
    </w:p>
    <w:p w:rsidR="00432CBB" w:rsidRPr="00F55DD0" w:rsidRDefault="00432CBB" w:rsidP="000970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sljedećoj tablici prikazani su ostvareni prihodi i izvršeni rashodi prema </w:t>
      </w:r>
      <w:r w:rsidRPr="007D3264">
        <w:rPr>
          <w:rFonts w:ascii="Times New Roman" w:hAnsi="Times New Roman"/>
          <w:sz w:val="24"/>
          <w:szCs w:val="24"/>
        </w:rPr>
        <w:t>ekonomskoj klasifikaciji na razini razreda i skupine</w:t>
      </w:r>
      <w:r>
        <w:rPr>
          <w:rFonts w:ascii="Times New Roman" w:hAnsi="Times New Roman"/>
          <w:sz w:val="24"/>
          <w:szCs w:val="24"/>
        </w:rPr>
        <w:t xml:space="preserve"> za izvještajno razdoblje.</w:t>
      </w:r>
    </w:p>
    <w:p w:rsidR="005F0CFF" w:rsidRPr="007D3264" w:rsidRDefault="005F0CFF" w:rsidP="000970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 xml:space="preserve">Tablica 1. </w:t>
      </w:r>
      <w:r w:rsidR="00AA2CC6" w:rsidRPr="007D3264">
        <w:rPr>
          <w:rFonts w:ascii="Times New Roman" w:hAnsi="Times New Roman"/>
          <w:sz w:val="24"/>
          <w:szCs w:val="24"/>
        </w:rPr>
        <w:t>Prihodi i rashodi prema ekonomskoj klasifikaciji na razini razreda i skupine (u eurima)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0"/>
        <w:gridCol w:w="2749"/>
        <w:gridCol w:w="1323"/>
        <w:gridCol w:w="1560"/>
        <w:gridCol w:w="1559"/>
        <w:gridCol w:w="1417"/>
      </w:tblGrid>
      <w:tr w:rsidR="00AA2CC6" w:rsidRPr="007D3264" w:rsidTr="00572CEB">
        <w:trPr>
          <w:trHeight w:val="1059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:rsidR="00AA2CC6" w:rsidRPr="007D3264" w:rsidRDefault="00AA2CC6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1671844"/>
            <w:r w:rsidRPr="007D3264">
              <w:rPr>
                <w:rFonts w:ascii="Times New Roman" w:hAnsi="Times New Roman"/>
                <w:sz w:val="24"/>
                <w:szCs w:val="24"/>
              </w:rPr>
              <w:t>Brojčana oznaka i naziv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AA2CC6" w:rsidRPr="007D3264" w:rsidRDefault="00AA2CC6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Ostvarenje/</w:t>
            </w:r>
          </w:p>
          <w:p w:rsidR="00AA2CC6" w:rsidRPr="007D3264" w:rsidRDefault="00AA2CC6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izvršenje</w:t>
            </w:r>
          </w:p>
          <w:p w:rsidR="00AA2CC6" w:rsidRPr="007D3264" w:rsidRDefault="00432CBB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AA2CC6" w:rsidRPr="007D3264" w:rsidRDefault="00432CBB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>rebalans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32CBB" w:rsidRDefault="00985CDE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Ostvarenje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 xml:space="preserve">/ izvršenje </w:t>
            </w:r>
          </w:p>
          <w:p w:rsidR="00AA2CC6" w:rsidRPr="007D3264" w:rsidRDefault="00432CBB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1-6- 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2CC6" w:rsidRPr="007D32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A2CC6" w:rsidRPr="007D3264" w:rsidRDefault="00AA2CC6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Indeks ostvarenja u odnosu na rebalans</w:t>
            </w:r>
          </w:p>
        </w:tc>
      </w:tr>
      <w:bookmarkEnd w:id="1"/>
      <w:tr w:rsidR="00AA2CC6" w:rsidRPr="007D3264" w:rsidTr="00A86B90">
        <w:tc>
          <w:tcPr>
            <w:tcW w:w="620" w:type="dxa"/>
            <w:vAlign w:val="center"/>
          </w:tcPr>
          <w:p w:rsidR="00AA2CC6" w:rsidRPr="007D3264" w:rsidRDefault="00AA2CC6" w:rsidP="000970F8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26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749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264">
              <w:rPr>
                <w:rFonts w:ascii="Times New Roman" w:hAnsi="Times New Roman"/>
                <w:i/>
                <w:sz w:val="24"/>
                <w:szCs w:val="24"/>
              </w:rPr>
              <w:t>Prihodi poslovanja</w:t>
            </w:r>
          </w:p>
        </w:tc>
        <w:tc>
          <w:tcPr>
            <w:tcW w:w="1275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275.143,28</w:t>
            </w:r>
          </w:p>
        </w:tc>
        <w:tc>
          <w:tcPr>
            <w:tcW w:w="1560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730.080,00</w:t>
            </w:r>
          </w:p>
        </w:tc>
        <w:tc>
          <w:tcPr>
            <w:tcW w:w="1559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346.554,83</w:t>
            </w:r>
          </w:p>
        </w:tc>
        <w:tc>
          <w:tcPr>
            <w:tcW w:w="1417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47,47</w:t>
            </w:r>
          </w:p>
        </w:tc>
      </w:tr>
      <w:tr w:rsidR="00AA2CC6" w:rsidRPr="007D3264" w:rsidTr="00AA2CC6">
        <w:tc>
          <w:tcPr>
            <w:tcW w:w="620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49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1275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239.468,63</w:t>
            </w:r>
          </w:p>
        </w:tc>
        <w:tc>
          <w:tcPr>
            <w:tcW w:w="1560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639.981,00</w:t>
            </w:r>
          </w:p>
        </w:tc>
        <w:tc>
          <w:tcPr>
            <w:tcW w:w="1559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301.478,18</w:t>
            </w:r>
          </w:p>
        </w:tc>
        <w:tc>
          <w:tcPr>
            <w:tcW w:w="1417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47,11</w:t>
            </w:r>
          </w:p>
        </w:tc>
      </w:tr>
      <w:tr w:rsidR="00AA2CC6" w:rsidRPr="007D3264" w:rsidTr="00AA2CC6">
        <w:tc>
          <w:tcPr>
            <w:tcW w:w="620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6</w:t>
            </w:r>
            <w:r w:rsidR="00432C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 xml:space="preserve">Prihodi od </w:t>
            </w:r>
            <w:r w:rsidR="00432CBB">
              <w:rPr>
                <w:rFonts w:ascii="Times New Roman" w:hAnsi="Times New Roman"/>
                <w:sz w:val="24"/>
                <w:szCs w:val="24"/>
              </w:rPr>
              <w:t>imovine</w:t>
            </w:r>
          </w:p>
        </w:tc>
        <w:tc>
          <w:tcPr>
            <w:tcW w:w="1275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vAlign w:val="bottom"/>
          </w:tcPr>
          <w:p w:rsidR="00CD5F3D" w:rsidRPr="007D3264" w:rsidRDefault="00CD5F3D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CC6" w:rsidRPr="007D3264" w:rsidTr="00AA2CC6">
        <w:tc>
          <w:tcPr>
            <w:tcW w:w="620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49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Prihodi od prodaje proizvoda i robe te pruženih usluga i prihodi od donacija</w:t>
            </w:r>
          </w:p>
        </w:tc>
        <w:tc>
          <w:tcPr>
            <w:tcW w:w="1275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60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</w:t>
            </w:r>
          </w:p>
        </w:tc>
        <w:tc>
          <w:tcPr>
            <w:tcW w:w="1559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  <w:tc>
          <w:tcPr>
            <w:tcW w:w="1417" w:type="dxa"/>
            <w:vAlign w:val="bottom"/>
          </w:tcPr>
          <w:p w:rsidR="00AA2CC6" w:rsidRPr="007D3264" w:rsidRDefault="00CD5F3D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</w:tr>
      <w:tr w:rsidR="00AA2CC6" w:rsidRPr="007D3264" w:rsidTr="00572CEB">
        <w:trPr>
          <w:trHeight w:val="1153"/>
        </w:trPr>
        <w:tc>
          <w:tcPr>
            <w:tcW w:w="620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49" w:type="dxa"/>
            <w:vAlign w:val="center"/>
          </w:tcPr>
          <w:p w:rsidR="00AA2CC6" w:rsidRPr="007D3264" w:rsidRDefault="00AA2CC6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Prihodi iz nadležnog proračuna i od HZZO-a na temelju ugovornih obveza</w:t>
            </w:r>
          </w:p>
        </w:tc>
        <w:tc>
          <w:tcPr>
            <w:tcW w:w="1275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35.534,65</w:t>
            </w:r>
          </w:p>
        </w:tc>
        <w:tc>
          <w:tcPr>
            <w:tcW w:w="1560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88.599,00</w:t>
            </w:r>
          </w:p>
        </w:tc>
        <w:tc>
          <w:tcPr>
            <w:tcW w:w="1559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44.651,64</w:t>
            </w:r>
          </w:p>
        </w:tc>
        <w:tc>
          <w:tcPr>
            <w:tcW w:w="1417" w:type="dxa"/>
            <w:vAlign w:val="bottom"/>
          </w:tcPr>
          <w:p w:rsidR="00AA2CC6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</w:tr>
      <w:tr w:rsidR="00A86B90" w:rsidRPr="007D3264" w:rsidTr="00A86B90">
        <w:trPr>
          <w:trHeight w:val="240"/>
        </w:trPr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26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264">
              <w:rPr>
                <w:rFonts w:ascii="Times New Roman" w:hAnsi="Times New Roman"/>
                <w:i/>
                <w:sz w:val="24"/>
                <w:szCs w:val="24"/>
              </w:rPr>
              <w:t>Rashodi poslovanja</w:t>
            </w:r>
          </w:p>
        </w:tc>
        <w:tc>
          <w:tcPr>
            <w:tcW w:w="1275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274.820,69</w:t>
            </w:r>
          </w:p>
        </w:tc>
        <w:tc>
          <w:tcPr>
            <w:tcW w:w="1560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730.747,00</w:t>
            </w:r>
          </w:p>
        </w:tc>
        <w:tc>
          <w:tcPr>
            <w:tcW w:w="1559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345.659,15</w:t>
            </w:r>
          </w:p>
        </w:tc>
        <w:tc>
          <w:tcPr>
            <w:tcW w:w="1417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47,63</w:t>
            </w:r>
          </w:p>
        </w:tc>
      </w:tr>
      <w:tr w:rsidR="00A86B90" w:rsidRPr="007D3264" w:rsidTr="00A86B90"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1275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225.972,62</w:t>
            </w:r>
          </w:p>
        </w:tc>
        <w:tc>
          <w:tcPr>
            <w:tcW w:w="1560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725.747,00</w:t>
            </w:r>
          </w:p>
        </w:tc>
        <w:tc>
          <w:tcPr>
            <w:tcW w:w="1559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291.425,51</w:t>
            </w:r>
          </w:p>
        </w:tc>
        <w:tc>
          <w:tcPr>
            <w:tcW w:w="1417" w:type="dxa"/>
            <w:vAlign w:val="bottom"/>
          </w:tcPr>
          <w:p w:rsidR="00A86B90" w:rsidRPr="007D3264" w:rsidRDefault="00432CBB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47,52</w:t>
            </w:r>
          </w:p>
        </w:tc>
      </w:tr>
      <w:tr w:rsidR="00A86B90" w:rsidRPr="007D3264" w:rsidTr="00A86B90"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1275" w:type="dxa"/>
            <w:vAlign w:val="bottom"/>
          </w:tcPr>
          <w:p w:rsidR="00A86B90" w:rsidRPr="007D3264" w:rsidRDefault="00D1119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48.549,05</w:t>
            </w:r>
          </w:p>
        </w:tc>
        <w:tc>
          <w:tcPr>
            <w:tcW w:w="1560" w:type="dxa"/>
            <w:vAlign w:val="bottom"/>
          </w:tcPr>
          <w:p w:rsidR="00A86B90" w:rsidRPr="007D3264" w:rsidRDefault="00D1119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108.939,00</w:t>
            </w:r>
          </w:p>
        </w:tc>
        <w:tc>
          <w:tcPr>
            <w:tcW w:w="1559" w:type="dxa"/>
            <w:vAlign w:val="bottom"/>
          </w:tcPr>
          <w:p w:rsidR="00A86B90" w:rsidRPr="007D3264" w:rsidRDefault="00D1119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54.081,11</w:t>
            </w:r>
          </w:p>
        </w:tc>
        <w:tc>
          <w:tcPr>
            <w:tcW w:w="1417" w:type="dxa"/>
            <w:vAlign w:val="bottom"/>
          </w:tcPr>
          <w:p w:rsidR="00A86B90" w:rsidRPr="007D3264" w:rsidRDefault="00D1119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49,64</w:t>
            </w:r>
          </w:p>
        </w:tc>
      </w:tr>
      <w:tr w:rsidR="00A86B90" w:rsidRPr="007D3264" w:rsidTr="00A86B90"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Financijski rashodi</w:t>
            </w:r>
          </w:p>
        </w:tc>
        <w:tc>
          <w:tcPr>
            <w:tcW w:w="1275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223,40</w:t>
            </w:r>
          </w:p>
        </w:tc>
        <w:tc>
          <w:tcPr>
            <w:tcW w:w="1560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  <w:tc>
          <w:tcPr>
            <w:tcW w:w="1559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152,53</w:t>
            </w:r>
          </w:p>
        </w:tc>
        <w:tc>
          <w:tcPr>
            <w:tcW w:w="1417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55,04</w:t>
            </w:r>
          </w:p>
        </w:tc>
      </w:tr>
      <w:tr w:rsidR="00A86B90" w:rsidRPr="007D3264" w:rsidTr="00DA4042">
        <w:trPr>
          <w:trHeight w:val="1749"/>
        </w:trPr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1275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bottom"/>
          </w:tcPr>
          <w:p w:rsidR="00A86B90" w:rsidRPr="007D3264" w:rsidRDefault="00A86B90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3.</w:t>
            </w:r>
            <w:r w:rsidR="00083F5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vAlign w:val="bottom"/>
          </w:tcPr>
          <w:p w:rsidR="00083F58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B90" w:rsidRPr="007D3264" w:rsidTr="00572CEB">
        <w:trPr>
          <w:trHeight w:val="254"/>
        </w:trPr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Ostali rashodi</w:t>
            </w:r>
          </w:p>
        </w:tc>
        <w:tc>
          <w:tcPr>
            <w:tcW w:w="1275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75,62</w:t>
            </w:r>
          </w:p>
        </w:tc>
        <w:tc>
          <w:tcPr>
            <w:tcW w:w="1560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B90" w:rsidRPr="007D3264" w:rsidTr="00A86B90"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2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3264">
              <w:rPr>
                <w:rFonts w:ascii="Times New Roman" w:hAnsi="Times New Roman"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1275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5.000,00</w:t>
            </w:r>
          </w:p>
        </w:tc>
        <w:tc>
          <w:tcPr>
            <w:tcW w:w="1559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86B90" w:rsidRPr="007D3264" w:rsidTr="00A86B90">
        <w:tc>
          <w:tcPr>
            <w:tcW w:w="620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49" w:type="dxa"/>
            <w:vAlign w:val="bottom"/>
          </w:tcPr>
          <w:p w:rsidR="00A86B90" w:rsidRPr="007D3264" w:rsidRDefault="00A86B90" w:rsidP="000970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3264">
              <w:rPr>
                <w:rFonts w:ascii="Times New Roman" w:hAnsi="Times New Roman"/>
                <w:sz w:val="24"/>
                <w:szCs w:val="24"/>
              </w:rPr>
              <w:t>Rashodi za nabavu proizvedene dug</w:t>
            </w:r>
            <w:r w:rsidR="00572CEB">
              <w:rPr>
                <w:rFonts w:ascii="Times New Roman" w:hAnsi="Times New Roman"/>
                <w:sz w:val="24"/>
                <w:szCs w:val="24"/>
              </w:rPr>
              <w:t>. imovine</w:t>
            </w:r>
          </w:p>
        </w:tc>
        <w:tc>
          <w:tcPr>
            <w:tcW w:w="1275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559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1F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:rsidR="00A86B90" w:rsidRPr="007D3264" w:rsidRDefault="00083F58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5E1B" w:rsidRDefault="00255E1B" w:rsidP="00DA404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7BC9" w:rsidRDefault="00B8369F" w:rsidP="000970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Pr="007D3264">
        <w:rPr>
          <w:rFonts w:ascii="Times New Roman" w:hAnsi="Times New Roman"/>
          <w:sz w:val="24"/>
          <w:szCs w:val="24"/>
        </w:rPr>
        <w:t xml:space="preserve">ostvarenju prihoda poslovanja </w:t>
      </w:r>
      <w:r>
        <w:rPr>
          <w:rFonts w:ascii="Times New Roman" w:hAnsi="Times New Roman"/>
          <w:sz w:val="24"/>
          <w:szCs w:val="24"/>
        </w:rPr>
        <w:t xml:space="preserve">u odnosu na planirano, najviše je ostvareno, </w:t>
      </w:r>
      <w:r w:rsidR="001462E9">
        <w:rPr>
          <w:rFonts w:ascii="Times New Roman" w:hAnsi="Times New Roman"/>
          <w:sz w:val="24"/>
          <w:szCs w:val="24"/>
        </w:rPr>
        <w:t>50,40</w:t>
      </w:r>
      <w:r w:rsidR="00572CEB">
        <w:rPr>
          <w:rFonts w:ascii="Times New Roman" w:hAnsi="Times New Roman"/>
          <w:sz w:val="24"/>
          <w:szCs w:val="24"/>
        </w:rPr>
        <w:t xml:space="preserve">%, </w:t>
      </w:r>
      <w:r w:rsidR="001462E9">
        <w:rPr>
          <w:rFonts w:ascii="Times New Roman" w:hAnsi="Times New Roman"/>
          <w:sz w:val="24"/>
          <w:szCs w:val="24"/>
        </w:rPr>
        <w:t>prihod</w:t>
      </w:r>
      <w:r>
        <w:rPr>
          <w:rFonts w:ascii="Times New Roman" w:hAnsi="Times New Roman"/>
          <w:sz w:val="24"/>
          <w:szCs w:val="24"/>
        </w:rPr>
        <w:t>a</w:t>
      </w:r>
      <w:r w:rsidR="001462E9">
        <w:rPr>
          <w:rFonts w:ascii="Times New Roman" w:hAnsi="Times New Roman"/>
          <w:sz w:val="24"/>
          <w:szCs w:val="24"/>
        </w:rPr>
        <w:t xml:space="preserve"> iz nadležnog proračuna za financiranje rashoda poslovanja</w:t>
      </w:r>
      <w:r w:rsidR="001305D4" w:rsidRPr="007D3264">
        <w:rPr>
          <w:rFonts w:ascii="Times New Roman" w:hAnsi="Times New Roman"/>
          <w:sz w:val="24"/>
          <w:szCs w:val="24"/>
        </w:rPr>
        <w:t xml:space="preserve">, u iznosu od </w:t>
      </w:r>
      <w:r w:rsidR="001462E9">
        <w:rPr>
          <w:rFonts w:ascii="Times New Roman" w:hAnsi="Times New Roman"/>
          <w:sz w:val="24"/>
          <w:szCs w:val="24"/>
        </w:rPr>
        <w:t>44.651,64</w:t>
      </w:r>
      <w:r w:rsidR="00572CEB">
        <w:rPr>
          <w:rFonts w:ascii="Times New Roman" w:hAnsi="Times New Roman"/>
          <w:sz w:val="24"/>
          <w:szCs w:val="24"/>
        </w:rPr>
        <w:t xml:space="preserve"> </w:t>
      </w:r>
      <w:r w:rsidR="001305D4" w:rsidRPr="007D3264">
        <w:rPr>
          <w:rFonts w:ascii="Times New Roman" w:hAnsi="Times New Roman"/>
          <w:sz w:val="24"/>
          <w:szCs w:val="24"/>
        </w:rPr>
        <w:t>eura, a iz koji se financiraju</w:t>
      </w:r>
      <w:r>
        <w:rPr>
          <w:rFonts w:ascii="Times New Roman" w:hAnsi="Times New Roman"/>
          <w:sz w:val="24"/>
          <w:szCs w:val="24"/>
        </w:rPr>
        <w:t xml:space="preserve"> materijalni i financijski</w:t>
      </w:r>
      <w:r w:rsidR="001305D4" w:rsidRPr="007D3264">
        <w:rPr>
          <w:rFonts w:ascii="Times New Roman" w:hAnsi="Times New Roman"/>
          <w:sz w:val="24"/>
          <w:szCs w:val="24"/>
        </w:rPr>
        <w:t xml:space="preserve"> rashodi</w:t>
      </w:r>
      <w:r>
        <w:rPr>
          <w:rFonts w:ascii="Times New Roman" w:hAnsi="Times New Roman"/>
          <w:sz w:val="24"/>
          <w:szCs w:val="24"/>
        </w:rPr>
        <w:t xml:space="preserve"> za realizaciju nastavnog i plana i programa.</w:t>
      </w:r>
    </w:p>
    <w:p w:rsidR="007D3264" w:rsidRPr="007D3264" w:rsidRDefault="00B8369F" w:rsidP="000970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se tiče rashoda poslovanja, </w:t>
      </w:r>
      <w:r w:rsidRPr="007D3264">
        <w:rPr>
          <w:rFonts w:ascii="Times New Roman" w:hAnsi="Times New Roman"/>
          <w:sz w:val="24"/>
          <w:szCs w:val="24"/>
        </w:rPr>
        <w:t>rashod</w:t>
      </w:r>
      <w:r>
        <w:rPr>
          <w:rFonts w:ascii="Times New Roman" w:hAnsi="Times New Roman"/>
          <w:sz w:val="24"/>
          <w:szCs w:val="24"/>
        </w:rPr>
        <w:t xml:space="preserve">i </w:t>
      </w:r>
      <w:r w:rsidRPr="007D3264">
        <w:rPr>
          <w:rFonts w:ascii="Times New Roman" w:hAnsi="Times New Roman"/>
          <w:sz w:val="24"/>
          <w:szCs w:val="24"/>
        </w:rPr>
        <w:t>za zaposlene</w:t>
      </w:r>
      <w:r>
        <w:rPr>
          <w:rFonts w:ascii="Times New Roman" w:hAnsi="Times New Roman"/>
          <w:sz w:val="24"/>
          <w:szCs w:val="24"/>
        </w:rPr>
        <w:t xml:space="preserve"> izvršeni su u iznosu od 291.425,51 eura, odnosno 47,52% u odnosu na planirano, a za 28,96% više u odnosu na prethodno izvještajno razdoblje, a zbog povećanja </w:t>
      </w:r>
      <w:r w:rsidR="002A72AD">
        <w:rPr>
          <w:rFonts w:ascii="Times New Roman" w:hAnsi="Times New Roman"/>
          <w:sz w:val="24"/>
          <w:szCs w:val="24"/>
        </w:rPr>
        <w:t>koeficijenta za obračun plaća zaposlenika temeljem nove Uredbe.</w:t>
      </w:r>
    </w:p>
    <w:p w:rsidR="00864D3A" w:rsidRDefault="007D3264" w:rsidP="000970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Prema iz</w:t>
      </w:r>
      <w:r>
        <w:rPr>
          <w:rFonts w:ascii="Times New Roman" w:hAnsi="Times New Roman"/>
          <w:sz w:val="24"/>
          <w:szCs w:val="24"/>
        </w:rPr>
        <w:t>vorima financiranja, najveći</w:t>
      </w:r>
      <w:r w:rsidRPr="007D3264">
        <w:rPr>
          <w:rFonts w:ascii="Times New Roman" w:hAnsi="Times New Roman"/>
          <w:sz w:val="24"/>
          <w:szCs w:val="24"/>
        </w:rPr>
        <w:t xml:space="preserve"> udio</w:t>
      </w:r>
      <w:r w:rsidR="00EE0F21">
        <w:rPr>
          <w:rFonts w:ascii="Times New Roman" w:hAnsi="Times New Roman"/>
          <w:sz w:val="24"/>
          <w:szCs w:val="24"/>
        </w:rPr>
        <w:t xml:space="preserve"> u ukupnim prihodima </w:t>
      </w:r>
      <w:r w:rsidRPr="007D3264">
        <w:rPr>
          <w:rFonts w:ascii="Times New Roman" w:hAnsi="Times New Roman"/>
          <w:sz w:val="24"/>
          <w:szCs w:val="24"/>
        </w:rPr>
        <w:t>čine 58 Ostale pomoći proračunskim korisnicima (</w:t>
      </w:r>
      <w:r w:rsidR="001462E9">
        <w:rPr>
          <w:rFonts w:ascii="Times New Roman" w:hAnsi="Times New Roman"/>
          <w:sz w:val="24"/>
          <w:szCs w:val="24"/>
        </w:rPr>
        <w:t xml:space="preserve">pomoći </w:t>
      </w:r>
      <w:r w:rsidRPr="007D3264">
        <w:rPr>
          <w:rFonts w:ascii="Times New Roman" w:hAnsi="Times New Roman"/>
          <w:sz w:val="24"/>
          <w:szCs w:val="24"/>
        </w:rPr>
        <w:t>iz državnog proračuna –</w:t>
      </w:r>
      <w:r w:rsidR="001462E9">
        <w:rPr>
          <w:rFonts w:ascii="Times New Roman" w:hAnsi="Times New Roman"/>
          <w:sz w:val="24"/>
          <w:szCs w:val="24"/>
        </w:rPr>
        <w:t xml:space="preserve"> za </w:t>
      </w:r>
      <w:r w:rsidRPr="007D3264">
        <w:rPr>
          <w:rFonts w:ascii="Times New Roman" w:hAnsi="Times New Roman"/>
          <w:sz w:val="24"/>
          <w:szCs w:val="24"/>
        </w:rPr>
        <w:t>plaće</w:t>
      </w:r>
      <w:r w:rsidR="001462E9">
        <w:rPr>
          <w:rFonts w:ascii="Times New Roman" w:hAnsi="Times New Roman"/>
          <w:sz w:val="24"/>
          <w:szCs w:val="24"/>
        </w:rPr>
        <w:t xml:space="preserve">, </w:t>
      </w:r>
      <w:r w:rsidRPr="007D3264">
        <w:rPr>
          <w:rFonts w:ascii="Times New Roman" w:hAnsi="Times New Roman"/>
          <w:sz w:val="24"/>
          <w:szCs w:val="24"/>
        </w:rPr>
        <w:t>ostal</w:t>
      </w:r>
      <w:r w:rsidR="001462E9">
        <w:rPr>
          <w:rFonts w:ascii="Times New Roman" w:hAnsi="Times New Roman"/>
          <w:sz w:val="24"/>
          <w:szCs w:val="24"/>
        </w:rPr>
        <w:t>e</w:t>
      </w:r>
      <w:r w:rsidRPr="007D3264">
        <w:rPr>
          <w:rFonts w:ascii="Times New Roman" w:hAnsi="Times New Roman"/>
          <w:sz w:val="24"/>
          <w:szCs w:val="24"/>
        </w:rPr>
        <w:t xml:space="preserve"> rashod</w:t>
      </w:r>
      <w:r w:rsidR="001462E9">
        <w:rPr>
          <w:rFonts w:ascii="Times New Roman" w:hAnsi="Times New Roman"/>
          <w:sz w:val="24"/>
          <w:szCs w:val="24"/>
        </w:rPr>
        <w:t>e</w:t>
      </w:r>
      <w:r w:rsidRPr="007D3264">
        <w:rPr>
          <w:rFonts w:ascii="Times New Roman" w:hAnsi="Times New Roman"/>
          <w:sz w:val="24"/>
          <w:szCs w:val="24"/>
        </w:rPr>
        <w:t xml:space="preserve"> za zaposlene</w:t>
      </w:r>
      <w:r w:rsidR="001462E9">
        <w:rPr>
          <w:rFonts w:ascii="Times New Roman" w:hAnsi="Times New Roman"/>
          <w:sz w:val="24"/>
          <w:szCs w:val="24"/>
        </w:rPr>
        <w:t xml:space="preserve"> te za higijenske potrepštine za učenice te pomoć iz općinskog proračuna Općine Lastovo za subvencionirani smještaj učitelja</w:t>
      </w:r>
      <w:r w:rsidRPr="007D3264">
        <w:rPr>
          <w:rFonts w:ascii="Times New Roman" w:hAnsi="Times New Roman"/>
          <w:sz w:val="24"/>
          <w:szCs w:val="24"/>
        </w:rPr>
        <w:t>)</w:t>
      </w:r>
      <w:r w:rsidR="002B0929">
        <w:rPr>
          <w:rFonts w:ascii="Times New Roman" w:hAnsi="Times New Roman"/>
          <w:sz w:val="24"/>
          <w:szCs w:val="24"/>
        </w:rPr>
        <w:t xml:space="preserve"> u iznosu od </w:t>
      </w:r>
      <w:r w:rsidR="00EE0F21">
        <w:rPr>
          <w:rFonts w:ascii="Times New Roman" w:hAnsi="Times New Roman"/>
          <w:sz w:val="24"/>
          <w:szCs w:val="24"/>
        </w:rPr>
        <w:t xml:space="preserve">301.478,18 </w:t>
      </w:r>
      <w:r w:rsidR="002B0929">
        <w:rPr>
          <w:rFonts w:ascii="Times New Roman" w:hAnsi="Times New Roman"/>
          <w:sz w:val="24"/>
          <w:szCs w:val="24"/>
        </w:rPr>
        <w:t>eura te nakon toga 44 Decentralizirana sredstva (prihod</w:t>
      </w:r>
      <w:r w:rsidR="00EE0F21">
        <w:rPr>
          <w:rFonts w:ascii="Times New Roman" w:hAnsi="Times New Roman"/>
          <w:sz w:val="24"/>
          <w:szCs w:val="24"/>
        </w:rPr>
        <w:t xml:space="preserve">i od </w:t>
      </w:r>
      <w:r w:rsidR="002B0929">
        <w:rPr>
          <w:rFonts w:ascii="Times New Roman" w:hAnsi="Times New Roman"/>
          <w:sz w:val="24"/>
          <w:szCs w:val="24"/>
        </w:rPr>
        <w:t>o</w:t>
      </w:r>
      <w:r w:rsidRPr="007D3264">
        <w:rPr>
          <w:rFonts w:ascii="Times New Roman" w:hAnsi="Times New Roman"/>
          <w:sz w:val="24"/>
          <w:szCs w:val="24"/>
        </w:rPr>
        <w:t xml:space="preserve">snivača </w:t>
      </w:r>
      <w:r w:rsidR="002B0929">
        <w:rPr>
          <w:rFonts w:ascii="Times New Roman" w:hAnsi="Times New Roman"/>
          <w:sz w:val="24"/>
          <w:szCs w:val="24"/>
        </w:rPr>
        <w:t>Dubrovačko-neretvanske županije</w:t>
      </w:r>
      <w:r w:rsidR="00D86257">
        <w:rPr>
          <w:rFonts w:ascii="Times New Roman" w:hAnsi="Times New Roman"/>
          <w:sz w:val="24"/>
          <w:szCs w:val="24"/>
        </w:rPr>
        <w:t xml:space="preserve"> – za materijalne i financijske rashode</w:t>
      </w:r>
      <w:r w:rsidR="002B0929">
        <w:rPr>
          <w:rFonts w:ascii="Times New Roman" w:hAnsi="Times New Roman"/>
          <w:sz w:val="24"/>
          <w:szCs w:val="24"/>
        </w:rPr>
        <w:t xml:space="preserve">) u iznosu od  </w:t>
      </w:r>
      <w:r w:rsidR="00EE0F21">
        <w:rPr>
          <w:rFonts w:ascii="Times New Roman" w:hAnsi="Times New Roman"/>
          <w:sz w:val="24"/>
          <w:szCs w:val="24"/>
        </w:rPr>
        <w:t>44.651,64</w:t>
      </w:r>
      <w:r w:rsidR="002B0929">
        <w:rPr>
          <w:rFonts w:ascii="Times New Roman" w:hAnsi="Times New Roman"/>
          <w:sz w:val="24"/>
          <w:szCs w:val="24"/>
        </w:rPr>
        <w:t xml:space="preserve"> eura. </w:t>
      </w:r>
      <w:r w:rsidRPr="007D3264">
        <w:rPr>
          <w:rFonts w:ascii="Times New Roman" w:hAnsi="Times New Roman"/>
          <w:sz w:val="24"/>
          <w:szCs w:val="24"/>
        </w:rPr>
        <w:t xml:space="preserve">Strukturu prihoda po izvorima prati i struktura rashoda </w:t>
      </w:r>
      <w:r w:rsidR="002B0929">
        <w:rPr>
          <w:rFonts w:ascii="Times New Roman" w:hAnsi="Times New Roman"/>
          <w:sz w:val="24"/>
          <w:szCs w:val="24"/>
        </w:rPr>
        <w:t>–</w:t>
      </w:r>
      <w:r w:rsidRPr="007D3264">
        <w:rPr>
          <w:rFonts w:ascii="Times New Roman" w:hAnsi="Times New Roman"/>
          <w:sz w:val="24"/>
          <w:szCs w:val="24"/>
        </w:rPr>
        <w:t xml:space="preserve"> sredstva</w:t>
      </w:r>
      <w:r w:rsidR="00572CEB">
        <w:rPr>
          <w:rFonts w:ascii="Times New Roman" w:hAnsi="Times New Roman"/>
          <w:sz w:val="24"/>
          <w:szCs w:val="24"/>
        </w:rPr>
        <w:t xml:space="preserve"> </w:t>
      </w:r>
      <w:r w:rsidRPr="007D3264">
        <w:rPr>
          <w:rFonts w:ascii="Times New Roman" w:hAnsi="Times New Roman"/>
          <w:sz w:val="24"/>
          <w:szCs w:val="24"/>
        </w:rPr>
        <w:t>se namjenski troše prema izvorima financiranja</w:t>
      </w:r>
      <w:r w:rsidR="00EE0F21">
        <w:rPr>
          <w:rFonts w:ascii="Times New Roman" w:hAnsi="Times New Roman"/>
          <w:sz w:val="24"/>
          <w:szCs w:val="24"/>
        </w:rPr>
        <w:t>.</w:t>
      </w:r>
    </w:p>
    <w:p w:rsidR="00EE0F21" w:rsidRPr="00EE0F21" w:rsidRDefault="00EE0F21" w:rsidP="005016EC">
      <w:p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0F21">
        <w:rPr>
          <w:rFonts w:ascii="Times New Roman" w:hAnsi="Times New Roman"/>
          <w:b/>
          <w:i/>
          <w:sz w:val="24"/>
          <w:szCs w:val="24"/>
        </w:rPr>
        <w:t>Obrazloženje prenesenog viška iz prethodne godine i viška za prijenos u sljedeć</w:t>
      </w:r>
      <w:r w:rsidR="00A71E20">
        <w:rPr>
          <w:rFonts w:ascii="Times New Roman" w:hAnsi="Times New Roman"/>
          <w:b/>
          <w:i/>
          <w:sz w:val="24"/>
          <w:szCs w:val="24"/>
        </w:rPr>
        <w:t xml:space="preserve">e </w:t>
      </w:r>
      <w:r w:rsidRPr="00EE0F21">
        <w:rPr>
          <w:rFonts w:ascii="Times New Roman" w:hAnsi="Times New Roman"/>
          <w:b/>
          <w:i/>
          <w:sz w:val="24"/>
          <w:szCs w:val="24"/>
        </w:rPr>
        <w:t>razdoblje</w:t>
      </w:r>
    </w:p>
    <w:p w:rsidR="00864D3A" w:rsidRDefault="00864D3A" w:rsidP="000970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264">
        <w:rPr>
          <w:rFonts w:ascii="Times New Roman" w:hAnsi="Times New Roman"/>
          <w:sz w:val="24"/>
          <w:szCs w:val="24"/>
        </w:rPr>
        <w:t>Ukupno prenes</w:t>
      </w:r>
      <w:r>
        <w:rPr>
          <w:rFonts w:ascii="Times New Roman" w:hAnsi="Times New Roman"/>
          <w:sz w:val="24"/>
          <w:szCs w:val="24"/>
        </w:rPr>
        <w:t>e</w:t>
      </w:r>
      <w:r w:rsidRPr="007D3264">
        <w:rPr>
          <w:rFonts w:ascii="Times New Roman" w:hAnsi="Times New Roman"/>
          <w:sz w:val="24"/>
          <w:szCs w:val="24"/>
        </w:rPr>
        <w:t xml:space="preserve">ni višak </w:t>
      </w:r>
      <w:r w:rsidR="00EE0F21">
        <w:rPr>
          <w:rFonts w:ascii="Times New Roman" w:hAnsi="Times New Roman"/>
          <w:sz w:val="24"/>
          <w:szCs w:val="24"/>
        </w:rPr>
        <w:t xml:space="preserve">prihoda poslovanja </w:t>
      </w:r>
      <w:r w:rsidRPr="007D3264">
        <w:rPr>
          <w:rFonts w:ascii="Times New Roman" w:hAnsi="Times New Roman"/>
          <w:sz w:val="24"/>
          <w:szCs w:val="24"/>
        </w:rPr>
        <w:t>iz 202</w:t>
      </w:r>
      <w:r w:rsidR="00EE0F21">
        <w:rPr>
          <w:rFonts w:ascii="Times New Roman" w:hAnsi="Times New Roman"/>
          <w:sz w:val="24"/>
          <w:szCs w:val="24"/>
        </w:rPr>
        <w:t>3. godine iznosi 666,76 eura. U razdoblju od 1. siječnja do 30. lipnja 2024. godine nisu utrošena sredstva iz prenesenog viška te će se utrošiti u sljedećem razdoblju sukladno Odluci, što je uvršteno i u I rebalans financijskog plana.</w:t>
      </w:r>
    </w:p>
    <w:p w:rsidR="00EE0F21" w:rsidRDefault="00EE0F21" w:rsidP="000970F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sljedećoj tablici prikazan je preneseni višak </w:t>
      </w:r>
      <w:r w:rsidR="006F4682">
        <w:rPr>
          <w:rFonts w:ascii="Times New Roman" w:hAnsi="Times New Roman"/>
          <w:sz w:val="24"/>
          <w:szCs w:val="24"/>
        </w:rPr>
        <w:t xml:space="preserve">iz prethodne godine </w:t>
      </w:r>
      <w:r>
        <w:rPr>
          <w:rFonts w:ascii="Times New Roman" w:hAnsi="Times New Roman"/>
          <w:sz w:val="24"/>
          <w:szCs w:val="24"/>
        </w:rPr>
        <w:t>po izvorima financiranja.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984"/>
        <w:gridCol w:w="2143"/>
      </w:tblGrid>
      <w:tr w:rsidR="00EE0F21" w:rsidTr="005C3C7A">
        <w:trPr>
          <w:jc w:val="center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EE0F21" w:rsidRDefault="00EE0F21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Izvori financiranja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E0F21" w:rsidRDefault="00EE0F21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Preneseno iz prethodne godine</w:t>
            </w:r>
          </w:p>
        </w:tc>
        <w:tc>
          <w:tcPr>
            <w:tcW w:w="2143" w:type="dxa"/>
            <w:shd w:val="clear" w:color="auto" w:fill="DBE5F1" w:themeFill="accent1" w:themeFillTint="33"/>
            <w:vAlign w:val="center"/>
          </w:tcPr>
          <w:p w:rsidR="00EE0F21" w:rsidRDefault="00EE0F21" w:rsidP="000970F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Izvršeno 1-6 2024.</w:t>
            </w:r>
          </w:p>
        </w:tc>
      </w:tr>
      <w:tr w:rsidR="00EE0F21" w:rsidTr="005C3C7A">
        <w:trPr>
          <w:jc w:val="center"/>
        </w:trPr>
        <w:tc>
          <w:tcPr>
            <w:tcW w:w="5495" w:type="dxa"/>
            <w:vAlign w:val="center"/>
          </w:tcPr>
          <w:p w:rsidR="00EE0F21" w:rsidRDefault="00EE0F21" w:rsidP="000970F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4.3.2. </w:t>
            </w:r>
            <w:r w:rsidR="00251FCC">
              <w:rPr>
                <w:rFonts w:ascii="Times New Roman" w:hAnsi="Times New Roman"/>
                <w:sz w:val="24"/>
                <w:szCs w:val="24"/>
              </w:rPr>
              <w:t>Prihodi za posebne namjene – prenesena sredstva</w:t>
            </w:r>
          </w:p>
        </w:tc>
        <w:tc>
          <w:tcPr>
            <w:tcW w:w="1984" w:type="dxa"/>
            <w:vAlign w:val="center"/>
          </w:tcPr>
          <w:p w:rsidR="00EE0F21" w:rsidRDefault="00EE0F21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113,09</w:t>
            </w:r>
          </w:p>
        </w:tc>
        <w:tc>
          <w:tcPr>
            <w:tcW w:w="2143" w:type="dxa"/>
            <w:vAlign w:val="center"/>
          </w:tcPr>
          <w:p w:rsidR="00EE0F21" w:rsidRDefault="00EE0F21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0F21" w:rsidTr="005C3C7A">
        <w:trPr>
          <w:jc w:val="center"/>
        </w:trPr>
        <w:tc>
          <w:tcPr>
            <w:tcW w:w="5495" w:type="dxa"/>
            <w:vAlign w:val="center"/>
          </w:tcPr>
          <w:p w:rsidR="00EE0F21" w:rsidRDefault="00251FCC" w:rsidP="000970F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5.8.2. Ostale pomoći PK – prenesena sredstava</w:t>
            </w:r>
          </w:p>
        </w:tc>
        <w:tc>
          <w:tcPr>
            <w:tcW w:w="1984" w:type="dxa"/>
            <w:vAlign w:val="center"/>
          </w:tcPr>
          <w:p w:rsidR="00EE0F21" w:rsidRDefault="00251FCC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392,15</w:t>
            </w:r>
          </w:p>
        </w:tc>
        <w:tc>
          <w:tcPr>
            <w:tcW w:w="2143" w:type="dxa"/>
            <w:vAlign w:val="center"/>
          </w:tcPr>
          <w:p w:rsidR="00EE0F21" w:rsidRDefault="00EE0F21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0F21" w:rsidTr="005C3C7A">
        <w:trPr>
          <w:jc w:val="center"/>
        </w:trPr>
        <w:tc>
          <w:tcPr>
            <w:tcW w:w="5495" w:type="dxa"/>
            <w:vAlign w:val="center"/>
          </w:tcPr>
          <w:p w:rsidR="00EE0F21" w:rsidRDefault="00251FCC" w:rsidP="000970F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 donacije PK – prenesena sredstva</w:t>
            </w:r>
          </w:p>
        </w:tc>
        <w:tc>
          <w:tcPr>
            <w:tcW w:w="1984" w:type="dxa"/>
            <w:vAlign w:val="center"/>
          </w:tcPr>
          <w:p w:rsidR="00EE0F21" w:rsidRDefault="00251FCC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161,55</w:t>
            </w:r>
          </w:p>
        </w:tc>
        <w:tc>
          <w:tcPr>
            <w:tcW w:w="2143" w:type="dxa"/>
            <w:vAlign w:val="center"/>
          </w:tcPr>
          <w:p w:rsidR="00EE0F21" w:rsidRDefault="00EE0F21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0F21" w:rsidTr="005C3C7A">
        <w:trPr>
          <w:jc w:val="center"/>
        </w:trPr>
        <w:tc>
          <w:tcPr>
            <w:tcW w:w="5495" w:type="dxa"/>
          </w:tcPr>
          <w:p w:rsidR="00EE0F21" w:rsidRDefault="00EE0F21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:rsidR="00EE0F21" w:rsidRDefault="00660DF7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666,76</w:t>
            </w:r>
          </w:p>
        </w:tc>
        <w:tc>
          <w:tcPr>
            <w:tcW w:w="2143" w:type="dxa"/>
          </w:tcPr>
          <w:p w:rsidR="00EE0F21" w:rsidRDefault="00EE0F21" w:rsidP="000970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26BED" w:rsidRDefault="006F4682" w:rsidP="00A173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U razdoblju od 1. siječnja do 30. lipnja 2024. godine ostvareno je 895,68 eura viška prihoda, a odnosi se na višak prihod</w:t>
      </w:r>
      <w:r w:rsidR="007E0BD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za financiranje školske prehrane (više primljena sredstva u odnosu na stvarno nastale rashode </w:t>
      </w:r>
      <w:r w:rsidR="007E0BD7">
        <w:rPr>
          <w:rFonts w:ascii="Times New Roman" w:hAnsi="Times New Roman"/>
          <w:sz w:val="24"/>
          <w:szCs w:val="24"/>
        </w:rPr>
        <w:t>živežnih namirnica po ulaznim računima, a koja će se vratiti u nadležni proračun), prihod za sufinancirani smještaj učitelja (sredstva primljena iz općinskog proračuna Općine Lastovo</w:t>
      </w:r>
      <w:r w:rsidR="00A173FA">
        <w:rPr>
          <w:rFonts w:ascii="Times New Roman" w:hAnsi="Times New Roman"/>
          <w:sz w:val="24"/>
          <w:szCs w:val="24"/>
        </w:rPr>
        <w:t xml:space="preserve"> </w:t>
      </w:r>
      <w:r w:rsidR="007E0BD7">
        <w:rPr>
          <w:rFonts w:ascii="Times New Roman" w:hAnsi="Times New Roman"/>
          <w:sz w:val="24"/>
          <w:szCs w:val="24"/>
        </w:rPr>
        <w:t>za podmirenje obveze smještaja učitelja</w:t>
      </w:r>
      <w:r w:rsidR="00A173FA">
        <w:rPr>
          <w:rFonts w:ascii="Times New Roman" w:hAnsi="Times New Roman"/>
          <w:sz w:val="24"/>
          <w:szCs w:val="24"/>
        </w:rPr>
        <w:t xml:space="preserve"> iz prosinca 2023.</w:t>
      </w:r>
      <w:r w:rsidR="007E0BD7">
        <w:rPr>
          <w:rFonts w:ascii="Times New Roman" w:hAnsi="Times New Roman"/>
          <w:sz w:val="24"/>
          <w:szCs w:val="24"/>
        </w:rPr>
        <w:t xml:space="preserve">), vlastiti prihod (prihodi od kamata na depozite po viđenju), pomoć iz državnog proračuna (za nabavu higijenskih potrepština za učenice, </w:t>
      </w:r>
      <w:r w:rsidR="00A173FA">
        <w:rPr>
          <w:rFonts w:ascii="Times New Roman" w:hAnsi="Times New Roman"/>
          <w:sz w:val="24"/>
          <w:szCs w:val="24"/>
        </w:rPr>
        <w:t xml:space="preserve">a </w:t>
      </w:r>
      <w:r w:rsidR="007E0BD7">
        <w:rPr>
          <w:rFonts w:ascii="Times New Roman" w:hAnsi="Times New Roman"/>
          <w:sz w:val="24"/>
          <w:szCs w:val="24"/>
        </w:rPr>
        <w:t xml:space="preserve">koja će se provesti </w:t>
      </w:r>
      <w:r w:rsidR="00A71E20">
        <w:rPr>
          <w:rFonts w:ascii="Times New Roman" w:hAnsi="Times New Roman"/>
          <w:sz w:val="24"/>
          <w:szCs w:val="24"/>
        </w:rPr>
        <w:t xml:space="preserve">u </w:t>
      </w:r>
      <w:r w:rsidR="007E0BD7">
        <w:rPr>
          <w:rFonts w:ascii="Times New Roman" w:hAnsi="Times New Roman"/>
          <w:sz w:val="24"/>
          <w:szCs w:val="24"/>
        </w:rPr>
        <w:t>narednom razdoblju) te prihod</w:t>
      </w:r>
      <w:r w:rsidR="00A173FA">
        <w:rPr>
          <w:rFonts w:ascii="Times New Roman" w:hAnsi="Times New Roman"/>
          <w:sz w:val="24"/>
          <w:szCs w:val="24"/>
        </w:rPr>
        <w:t>e</w:t>
      </w:r>
      <w:r w:rsidR="007E0BD7">
        <w:rPr>
          <w:rFonts w:ascii="Times New Roman" w:hAnsi="Times New Roman"/>
          <w:sz w:val="24"/>
          <w:szCs w:val="24"/>
        </w:rPr>
        <w:t xml:space="preserve"> od donacija fizičkih osoba (za uređenje školskog dvorišta, koja će se utrošiti do kraja 2024. godine).</w:t>
      </w:r>
    </w:p>
    <w:p w:rsidR="007E0BD7" w:rsidRDefault="007E0BD7" w:rsidP="000970F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sljedećoj tablici prikazan je višak prihoda ostvaren u izvještajnoj razdoblju po izvorima </w:t>
      </w:r>
      <w:r w:rsidR="00C37082">
        <w:rPr>
          <w:rFonts w:ascii="Times New Roman" w:hAnsi="Times New Roman"/>
          <w:sz w:val="24"/>
          <w:szCs w:val="24"/>
        </w:rPr>
        <w:t>financiranja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985"/>
      </w:tblGrid>
      <w:tr w:rsidR="00A173FA" w:rsidTr="00A173FA">
        <w:trPr>
          <w:jc w:val="center"/>
        </w:trPr>
        <w:tc>
          <w:tcPr>
            <w:tcW w:w="5637" w:type="dxa"/>
            <w:shd w:val="clear" w:color="auto" w:fill="DBE5F1" w:themeFill="accent1" w:themeFillTint="33"/>
            <w:vAlign w:val="center"/>
          </w:tcPr>
          <w:p w:rsidR="00A173FA" w:rsidRDefault="00A173FA" w:rsidP="00F4213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Izvori financiranja</w:t>
            </w:r>
          </w:p>
        </w:tc>
        <w:tc>
          <w:tcPr>
            <w:tcW w:w="3985" w:type="dxa"/>
            <w:shd w:val="clear" w:color="auto" w:fill="DBE5F1" w:themeFill="accent1" w:themeFillTint="33"/>
            <w:vAlign w:val="center"/>
          </w:tcPr>
          <w:p w:rsidR="00A173FA" w:rsidRDefault="00A173FA" w:rsidP="00A173F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Višak prihoda 1-6 2024.</w:t>
            </w:r>
          </w:p>
        </w:tc>
      </w:tr>
      <w:tr w:rsidR="00A173FA" w:rsidTr="00A173FA">
        <w:trPr>
          <w:jc w:val="center"/>
        </w:trPr>
        <w:tc>
          <w:tcPr>
            <w:tcW w:w="5637" w:type="dxa"/>
            <w:vAlign w:val="center"/>
          </w:tcPr>
          <w:p w:rsidR="00A173FA" w:rsidRDefault="00A173FA" w:rsidP="00F421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 Vlastiti prihodi PK</w:t>
            </w:r>
          </w:p>
        </w:tc>
        <w:tc>
          <w:tcPr>
            <w:tcW w:w="3985" w:type="dxa"/>
            <w:vAlign w:val="center"/>
          </w:tcPr>
          <w:p w:rsidR="00A173FA" w:rsidRDefault="00A173FA" w:rsidP="00F4213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A173FA" w:rsidTr="00A173FA">
        <w:trPr>
          <w:jc w:val="center"/>
        </w:trPr>
        <w:tc>
          <w:tcPr>
            <w:tcW w:w="5637" w:type="dxa"/>
            <w:vAlign w:val="center"/>
          </w:tcPr>
          <w:p w:rsidR="00A173FA" w:rsidRDefault="00A173FA" w:rsidP="00F421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  <w:r w:rsidR="00C41C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Ostale pomoći </w:t>
            </w:r>
            <w:r w:rsidR="00C41C60">
              <w:rPr>
                <w:rFonts w:ascii="Times New Roman" w:hAnsi="Times New Roman"/>
                <w:sz w:val="24"/>
                <w:szCs w:val="24"/>
              </w:rPr>
              <w:t>PK</w:t>
            </w:r>
          </w:p>
        </w:tc>
        <w:tc>
          <w:tcPr>
            <w:tcW w:w="3985" w:type="dxa"/>
            <w:vAlign w:val="center"/>
          </w:tcPr>
          <w:p w:rsidR="00A173FA" w:rsidRDefault="000F0531" w:rsidP="000F0531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470,67</w:t>
            </w:r>
          </w:p>
        </w:tc>
      </w:tr>
      <w:tr w:rsidR="00A173FA" w:rsidTr="00A173FA">
        <w:trPr>
          <w:jc w:val="center"/>
        </w:trPr>
        <w:tc>
          <w:tcPr>
            <w:tcW w:w="5637" w:type="dxa"/>
            <w:vAlign w:val="center"/>
          </w:tcPr>
          <w:p w:rsidR="00A173FA" w:rsidRDefault="00A173FA" w:rsidP="00F421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="00C41C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1C6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onacije PK </w:t>
            </w:r>
          </w:p>
        </w:tc>
        <w:tc>
          <w:tcPr>
            <w:tcW w:w="3985" w:type="dxa"/>
            <w:vAlign w:val="center"/>
          </w:tcPr>
          <w:p w:rsidR="00A173FA" w:rsidRDefault="00422512" w:rsidP="00F4213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</w:tr>
      <w:tr w:rsidR="00A173FA" w:rsidTr="00A173FA">
        <w:trPr>
          <w:jc w:val="center"/>
        </w:trPr>
        <w:tc>
          <w:tcPr>
            <w:tcW w:w="5637" w:type="dxa"/>
          </w:tcPr>
          <w:p w:rsidR="00A173FA" w:rsidRDefault="00A173FA" w:rsidP="00F4213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985" w:type="dxa"/>
          </w:tcPr>
          <w:p w:rsidR="00A173FA" w:rsidRDefault="000F0531" w:rsidP="00F4213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895,68</w:t>
            </w:r>
          </w:p>
        </w:tc>
      </w:tr>
    </w:tbl>
    <w:p w:rsidR="008D4CE1" w:rsidRDefault="008D4CE1" w:rsidP="008D4CE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D4CE1" w:rsidRPr="008D4CE1" w:rsidRDefault="008D4CE1" w:rsidP="008D4CE1">
      <w:pPr>
        <w:tabs>
          <w:tab w:val="left" w:pos="284"/>
        </w:tabs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Slijedom prethodno navedenoga</w:t>
      </w:r>
      <w:r>
        <w:rPr>
          <w:rFonts w:ascii="Times New Roman" w:hAnsi="Times New Roman"/>
          <w:sz w:val="24"/>
          <w:szCs w:val="24"/>
        </w:rPr>
        <w:t>, ukupan višak prihoda raspoloživ u sljedećem razdoblju iznosi 1.562,44 eura.</w:t>
      </w:r>
    </w:p>
    <w:p w:rsidR="00255E1B" w:rsidRDefault="00255E1B" w:rsidP="000970F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Škola nema zaduživanja na domaćem i stranom tržištu novca i kapitala stoga ne sastavlja posebne izvještaje u polugodišnjem izvršenju financijskog plana.</w:t>
      </w:r>
    </w:p>
    <w:p w:rsidR="00255E1B" w:rsidRDefault="00255E1B" w:rsidP="000970F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26BED" w:rsidRDefault="00426BED" w:rsidP="000970F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Pr="008D4CE1">
        <w:rPr>
          <w:rFonts w:ascii="Times New Roman" w:hAnsi="Times New Roman"/>
          <w:sz w:val="24"/>
          <w:szCs w:val="24"/>
        </w:rPr>
        <w:t xml:space="preserve">Lastovu </w:t>
      </w:r>
      <w:r w:rsidR="008D4CE1" w:rsidRPr="008D4CE1">
        <w:rPr>
          <w:rFonts w:ascii="Times New Roman" w:hAnsi="Times New Roman"/>
          <w:sz w:val="24"/>
          <w:szCs w:val="24"/>
        </w:rPr>
        <w:t>22.</w:t>
      </w:r>
      <w:r w:rsidR="00255E1B">
        <w:rPr>
          <w:rFonts w:ascii="Times New Roman" w:hAnsi="Times New Roman"/>
          <w:sz w:val="24"/>
          <w:szCs w:val="24"/>
        </w:rPr>
        <w:t xml:space="preserve"> srpnja 2024. godine</w:t>
      </w:r>
    </w:p>
    <w:p w:rsidR="00426BED" w:rsidRDefault="00426BED" w:rsidP="000970F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26BED" w:rsidRDefault="00426BED" w:rsidP="000970F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Voditeljica računovodstva u školi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</w:t>
      </w:r>
    </w:p>
    <w:p w:rsidR="00426BED" w:rsidRDefault="00426BED" w:rsidP="000970F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26BED" w:rsidRPr="007D3264" w:rsidRDefault="00426BED" w:rsidP="000970F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Marinela Katić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Vedrana Ortika Medini</w:t>
      </w:r>
    </w:p>
    <w:sectPr w:rsidR="00426BED" w:rsidRPr="007D326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EC"/>
    <w:multiLevelType w:val="hybridMultilevel"/>
    <w:tmpl w:val="72CA4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2294"/>
    <w:multiLevelType w:val="hybridMultilevel"/>
    <w:tmpl w:val="5C42D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0EF6"/>
    <w:multiLevelType w:val="hybridMultilevel"/>
    <w:tmpl w:val="B6FA27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081BC6"/>
    <w:multiLevelType w:val="hybridMultilevel"/>
    <w:tmpl w:val="4F168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2D1"/>
    <w:multiLevelType w:val="hybridMultilevel"/>
    <w:tmpl w:val="AB9AB5B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D703BF"/>
    <w:multiLevelType w:val="hybridMultilevel"/>
    <w:tmpl w:val="E6723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7E"/>
    <w:rsid w:val="00083F58"/>
    <w:rsid w:val="000970F8"/>
    <w:rsid w:val="000C7F98"/>
    <w:rsid w:val="000E7CBB"/>
    <w:rsid w:val="000F0531"/>
    <w:rsid w:val="001305D4"/>
    <w:rsid w:val="001359F7"/>
    <w:rsid w:val="001462E9"/>
    <w:rsid w:val="00251FCC"/>
    <w:rsid w:val="00255E1B"/>
    <w:rsid w:val="00277329"/>
    <w:rsid w:val="0027795A"/>
    <w:rsid w:val="0028459E"/>
    <w:rsid w:val="002A72AD"/>
    <w:rsid w:val="002B0929"/>
    <w:rsid w:val="00367A05"/>
    <w:rsid w:val="003750CC"/>
    <w:rsid w:val="003B2D00"/>
    <w:rsid w:val="00422512"/>
    <w:rsid w:val="00426BED"/>
    <w:rsid w:val="00432CBB"/>
    <w:rsid w:val="00436AC5"/>
    <w:rsid w:val="004C07D9"/>
    <w:rsid w:val="004D6B74"/>
    <w:rsid w:val="005016EC"/>
    <w:rsid w:val="00506DDF"/>
    <w:rsid w:val="005114AC"/>
    <w:rsid w:val="00537E5F"/>
    <w:rsid w:val="00571280"/>
    <w:rsid w:val="00572CEB"/>
    <w:rsid w:val="005A6542"/>
    <w:rsid w:val="005C3C7A"/>
    <w:rsid w:val="005D7BD4"/>
    <w:rsid w:val="005F0CFF"/>
    <w:rsid w:val="005F4303"/>
    <w:rsid w:val="00660DF7"/>
    <w:rsid w:val="006D5BCF"/>
    <w:rsid w:val="006F4682"/>
    <w:rsid w:val="006F55AC"/>
    <w:rsid w:val="006F7F4F"/>
    <w:rsid w:val="00750326"/>
    <w:rsid w:val="007704D8"/>
    <w:rsid w:val="0079757E"/>
    <w:rsid w:val="007A4A9B"/>
    <w:rsid w:val="007D3264"/>
    <w:rsid w:val="007E0BD7"/>
    <w:rsid w:val="00823A8A"/>
    <w:rsid w:val="0086098A"/>
    <w:rsid w:val="00864D3A"/>
    <w:rsid w:val="0089048B"/>
    <w:rsid w:val="008D4CE1"/>
    <w:rsid w:val="008E7C84"/>
    <w:rsid w:val="008F2E04"/>
    <w:rsid w:val="008F5D9E"/>
    <w:rsid w:val="00955B2E"/>
    <w:rsid w:val="00960D78"/>
    <w:rsid w:val="00985CDE"/>
    <w:rsid w:val="0098708C"/>
    <w:rsid w:val="009F70BC"/>
    <w:rsid w:val="00A173FA"/>
    <w:rsid w:val="00A33240"/>
    <w:rsid w:val="00A71E20"/>
    <w:rsid w:val="00A86B90"/>
    <w:rsid w:val="00AA2CC6"/>
    <w:rsid w:val="00AB5F34"/>
    <w:rsid w:val="00AD21FA"/>
    <w:rsid w:val="00B306AA"/>
    <w:rsid w:val="00B465A9"/>
    <w:rsid w:val="00B63916"/>
    <w:rsid w:val="00B8369F"/>
    <w:rsid w:val="00BA4ED0"/>
    <w:rsid w:val="00BB366E"/>
    <w:rsid w:val="00BF7BC9"/>
    <w:rsid w:val="00C37082"/>
    <w:rsid w:val="00C400A3"/>
    <w:rsid w:val="00C41C60"/>
    <w:rsid w:val="00CA01B0"/>
    <w:rsid w:val="00CA6B10"/>
    <w:rsid w:val="00CD5F3D"/>
    <w:rsid w:val="00D11198"/>
    <w:rsid w:val="00D222F1"/>
    <w:rsid w:val="00D86257"/>
    <w:rsid w:val="00DA4042"/>
    <w:rsid w:val="00DB3385"/>
    <w:rsid w:val="00DD246E"/>
    <w:rsid w:val="00E3685F"/>
    <w:rsid w:val="00E37742"/>
    <w:rsid w:val="00EC5F8F"/>
    <w:rsid w:val="00EE0F21"/>
    <w:rsid w:val="00EE169B"/>
    <w:rsid w:val="00F33F49"/>
    <w:rsid w:val="00F36872"/>
    <w:rsid w:val="00F441AC"/>
    <w:rsid w:val="00F55DD0"/>
    <w:rsid w:val="00F632C3"/>
    <w:rsid w:val="00FA5D03"/>
    <w:rsid w:val="00FC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D703"/>
  <w15:docId w15:val="{1AAE8527-9CBC-4DBB-93FE-31EA90C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5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57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Reetkatablice">
    <w:name w:val="Table Grid"/>
    <w:basedOn w:val="Obinatablica"/>
    <w:uiPriority w:val="59"/>
    <w:rsid w:val="00AA2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link w:val="BezproredaChar"/>
    <w:uiPriority w:val="1"/>
    <w:qFormat/>
    <w:rsid w:val="002779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27795A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D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33</cp:revision>
  <cp:lastPrinted>2024-03-25T12:54:00Z</cp:lastPrinted>
  <dcterms:created xsi:type="dcterms:W3CDTF">2024-03-26T21:53:00Z</dcterms:created>
  <dcterms:modified xsi:type="dcterms:W3CDTF">2024-07-22T05:28:00Z</dcterms:modified>
</cp:coreProperties>
</file>