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92" w:rsidRPr="008B65E5" w:rsidRDefault="008B65E5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OSNOVNA ŠKOLA „BRAĆA GLUMAC“</w:t>
      </w:r>
    </w:p>
    <w:p w:rsidR="008B65E5" w:rsidRDefault="00715250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Dolac 11 </w:t>
      </w:r>
    </w:p>
    <w:p w:rsidR="00433B27" w:rsidRPr="008B65E5" w:rsidRDefault="00715250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20290 Lastovo</w:t>
      </w:r>
    </w:p>
    <w:p w:rsidR="00E87E64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Broj RKP: </w:t>
      </w:r>
      <w:r w:rsidR="00393E95" w:rsidRPr="008B65E5">
        <w:rPr>
          <w:rFonts w:ascii="Times New Roman" w:hAnsi="Times New Roman"/>
          <w:b/>
          <w:sz w:val="24"/>
          <w:szCs w:val="24"/>
        </w:rPr>
        <w:t>12296</w:t>
      </w:r>
    </w:p>
    <w:p w:rsidR="00715250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Matični broj škole: </w:t>
      </w:r>
      <w:r w:rsidR="00715250" w:rsidRPr="008B65E5">
        <w:rPr>
          <w:rFonts w:ascii="Times New Roman" w:hAnsi="Times New Roman"/>
          <w:b/>
          <w:sz w:val="24"/>
          <w:szCs w:val="24"/>
        </w:rPr>
        <w:t>03324117</w:t>
      </w:r>
    </w:p>
    <w:p w:rsidR="00433B27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OIB škole: </w:t>
      </w:r>
      <w:r w:rsidR="00715250" w:rsidRPr="008B65E5">
        <w:rPr>
          <w:rFonts w:ascii="Times New Roman" w:hAnsi="Times New Roman"/>
          <w:b/>
          <w:sz w:val="24"/>
          <w:szCs w:val="24"/>
        </w:rPr>
        <w:t>80382692021</w:t>
      </w:r>
    </w:p>
    <w:p w:rsidR="008B65E5" w:rsidRPr="008B65E5" w:rsidRDefault="008B65E5" w:rsidP="00962E92">
      <w:pPr>
        <w:pStyle w:val="Bezprored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8B65E5" w:rsidRPr="008B65E5" w:rsidRDefault="00A405D8" w:rsidP="00E87E64">
      <w:pPr>
        <w:pStyle w:val="Bezprored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B65E5">
        <w:rPr>
          <w:rFonts w:ascii="Times New Roman" w:hAnsi="Times New Roman"/>
          <w:b/>
          <w:sz w:val="28"/>
          <w:szCs w:val="28"/>
        </w:rPr>
        <w:t>OBRAZLO</w:t>
      </w:r>
      <w:r w:rsidR="00E87E64" w:rsidRPr="008B65E5">
        <w:rPr>
          <w:rFonts w:ascii="Times New Roman" w:hAnsi="Times New Roman"/>
          <w:b/>
          <w:sz w:val="28"/>
          <w:szCs w:val="28"/>
        </w:rPr>
        <w:t xml:space="preserve">ŽENJE </w:t>
      </w:r>
    </w:p>
    <w:p w:rsidR="00A405D8" w:rsidRPr="008B65E5" w:rsidRDefault="00E87E64" w:rsidP="008B65E5">
      <w:pPr>
        <w:pStyle w:val="Bezprored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B65E5">
        <w:rPr>
          <w:rFonts w:ascii="Times New Roman" w:hAnsi="Times New Roman"/>
          <w:b/>
          <w:sz w:val="28"/>
          <w:szCs w:val="28"/>
        </w:rPr>
        <w:t>FINANCIJSKOG PLANA ZA 202</w:t>
      </w:r>
      <w:r w:rsidR="004C3390">
        <w:rPr>
          <w:rFonts w:ascii="Times New Roman" w:hAnsi="Times New Roman"/>
          <w:b/>
          <w:sz w:val="28"/>
          <w:szCs w:val="28"/>
        </w:rPr>
        <w:t>5</w:t>
      </w:r>
      <w:r w:rsidR="00477A89" w:rsidRPr="008B65E5">
        <w:rPr>
          <w:rFonts w:ascii="Times New Roman" w:hAnsi="Times New Roman"/>
          <w:b/>
          <w:sz w:val="28"/>
          <w:szCs w:val="28"/>
        </w:rPr>
        <w:t xml:space="preserve">. </w:t>
      </w:r>
      <w:r w:rsidR="004C3390">
        <w:rPr>
          <w:rFonts w:ascii="Times New Roman" w:hAnsi="Times New Roman"/>
          <w:b/>
          <w:sz w:val="28"/>
          <w:szCs w:val="28"/>
        </w:rPr>
        <w:t>I PROJEKCIJA ZA 2026. I 2027.</w:t>
      </w:r>
    </w:p>
    <w:p w:rsidR="00A405D8" w:rsidRPr="008B65E5" w:rsidRDefault="00A405D8" w:rsidP="00A405D8">
      <w:pPr>
        <w:pStyle w:val="Bezprored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DF1A27" w:rsidRDefault="00DF1A27" w:rsidP="008B65E5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8B65E5" w:rsidRPr="008B65E5" w:rsidRDefault="008B65E5" w:rsidP="00DF1A2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UVOD </w:t>
      </w:r>
    </w:p>
    <w:p w:rsidR="008B65E5" w:rsidRPr="008B65E5" w:rsidRDefault="008B65E5" w:rsidP="008B65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65E5" w:rsidRDefault="004C3390" w:rsidP="008B65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</w:t>
      </w:r>
      <w:r w:rsidR="008B65E5" w:rsidRPr="008B65E5">
        <w:rPr>
          <w:rFonts w:ascii="Times New Roman" w:hAnsi="Times New Roman"/>
          <w:sz w:val="24"/>
          <w:szCs w:val="24"/>
        </w:rPr>
        <w:t>dredbama članka 38.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5E5" w:rsidRPr="008B65E5">
        <w:rPr>
          <w:rFonts w:ascii="Times New Roman" w:hAnsi="Times New Roman"/>
          <w:sz w:val="24"/>
          <w:szCs w:val="24"/>
        </w:rPr>
        <w:t xml:space="preserve">Zakona o proračunu </w:t>
      </w:r>
      <w:r w:rsidR="008B65E5">
        <w:rPr>
          <w:rFonts w:ascii="Times New Roman" w:hAnsi="Times New Roman"/>
          <w:sz w:val="24"/>
          <w:szCs w:val="24"/>
        </w:rPr>
        <w:t xml:space="preserve">(„Narodne novine“, </w:t>
      </w:r>
      <w:r w:rsidR="008B65E5" w:rsidRPr="008B65E5">
        <w:rPr>
          <w:rFonts w:ascii="Times New Roman" w:hAnsi="Times New Roman"/>
          <w:sz w:val="24"/>
          <w:szCs w:val="24"/>
        </w:rPr>
        <w:t>144/21</w:t>
      </w:r>
      <w:r w:rsidR="008B65E5">
        <w:rPr>
          <w:rFonts w:ascii="Times New Roman" w:hAnsi="Times New Roman"/>
          <w:sz w:val="24"/>
          <w:szCs w:val="24"/>
        </w:rPr>
        <w:t>.</w:t>
      </w:r>
      <w:r w:rsidR="008B65E5" w:rsidRPr="008B65E5">
        <w:rPr>
          <w:rFonts w:ascii="Times New Roman" w:hAnsi="Times New Roman"/>
          <w:sz w:val="24"/>
          <w:szCs w:val="24"/>
        </w:rPr>
        <w:t>)</w:t>
      </w:r>
      <w:r w:rsidR="008B65E5">
        <w:rPr>
          <w:rFonts w:ascii="Times New Roman" w:hAnsi="Times New Roman"/>
          <w:sz w:val="24"/>
          <w:szCs w:val="24"/>
        </w:rPr>
        <w:t xml:space="preserve"> </w:t>
      </w:r>
      <w:r w:rsidR="008B65E5" w:rsidRPr="008B65E5">
        <w:rPr>
          <w:rFonts w:ascii="Times New Roman" w:hAnsi="Times New Roman"/>
          <w:sz w:val="24"/>
          <w:szCs w:val="24"/>
        </w:rPr>
        <w:t>financijski plan proračunskog korisnika za 202</w:t>
      </w:r>
      <w:r>
        <w:rPr>
          <w:rFonts w:ascii="Times New Roman" w:hAnsi="Times New Roman"/>
          <w:sz w:val="24"/>
          <w:szCs w:val="24"/>
        </w:rPr>
        <w:t>5</w:t>
      </w:r>
      <w:r w:rsidR="008B65E5" w:rsidRPr="008B65E5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  <w:r w:rsidR="008B65E5" w:rsidRPr="008B65E5">
        <w:rPr>
          <w:rFonts w:ascii="Times New Roman" w:hAnsi="Times New Roman"/>
          <w:sz w:val="24"/>
          <w:szCs w:val="24"/>
        </w:rPr>
        <w:t>predlaž</w:t>
      </w:r>
      <w:r>
        <w:rPr>
          <w:rFonts w:ascii="Times New Roman" w:hAnsi="Times New Roman"/>
          <w:sz w:val="24"/>
          <w:szCs w:val="24"/>
        </w:rPr>
        <w:t>e</w:t>
      </w:r>
      <w:r w:rsidR="008B65E5" w:rsidRPr="008B65E5">
        <w:rPr>
          <w:rFonts w:ascii="Times New Roman" w:hAnsi="Times New Roman"/>
          <w:sz w:val="24"/>
          <w:szCs w:val="24"/>
        </w:rPr>
        <w:t xml:space="preserve"> se  i usvaja na razini skupine ekonomske klasifikacije (druga razina računskog plana).</w:t>
      </w:r>
      <w:r w:rsidR="008B65E5" w:rsidRPr="008B65E5">
        <w:rPr>
          <w:rFonts w:ascii="Times New Roman" w:hAnsi="Times New Roman"/>
          <w:sz w:val="24"/>
          <w:szCs w:val="24"/>
        </w:rPr>
        <w:tab/>
      </w:r>
    </w:p>
    <w:p w:rsidR="008B65E5" w:rsidRPr="008B65E5" w:rsidRDefault="008B65E5" w:rsidP="008B65E5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Člankom 34., 35. i 36. Zakona o proračunu propisano je da se financijski plan</w:t>
      </w:r>
      <w:r w:rsidR="004C3390">
        <w:rPr>
          <w:rFonts w:ascii="Times New Roman" w:hAnsi="Times New Roman"/>
          <w:sz w:val="24"/>
          <w:szCs w:val="24"/>
        </w:rPr>
        <w:t xml:space="preserve"> </w:t>
      </w:r>
      <w:r w:rsidR="004C3390" w:rsidRPr="004C3390">
        <w:rPr>
          <w:rFonts w:ascii="Times New Roman" w:hAnsi="Times New Roman"/>
          <w:sz w:val="24"/>
          <w:szCs w:val="24"/>
        </w:rPr>
        <w:t>sastoji  od plana za proračunsku godinu i projekcija za sljedeće dvije godine</w:t>
      </w:r>
      <w:r w:rsidR="004C3390">
        <w:rPr>
          <w:rFonts w:ascii="Times New Roman" w:hAnsi="Times New Roman"/>
          <w:sz w:val="24"/>
          <w:szCs w:val="24"/>
        </w:rPr>
        <w:t xml:space="preserve"> te da sadrži: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Opć</w:t>
      </w:r>
      <w:r w:rsidR="004C3390">
        <w:rPr>
          <w:rFonts w:ascii="Times New Roman" w:hAnsi="Times New Roman"/>
          <w:sz w:val="24"/>
          <w:szCs w:val="24"/>
        </w:rPr>
        <w:t>i</w:t>
      </w:r>
      <w:r w:rsidRPr="008B65E5">
        <w:rPr>
          <w:rFonts w:ascii="Times New Roman" w:hAnsi="Times New Roman"/>
          <w:sz w:val="24"/>
          <w:szCs w:val="24"/>
        </w:rPr>
        <w:t xml:space="preserve"> di</w:t>
      </w:r>
      <w:r w:rsidR="004C3390">
        <w:rPr>
          <w:rFonts w:ascii="Times New Roman" w:hAnsi="Times New Roman"/>
          <w:sz w:val="24"/>
          <w:szCs w:val="24"/>
        </w:rPr>
        <w:t>o</w:t>
      </w:r>
      <w:r w:rsidRPr="008B65E5">
        <w:rPr>
          <w:rFonts w:ascii="Times New Roman" w:hAnsi="Times New Roman"/>
          <w:sz w:val="24"/>
          <w:szCs w:val="24"/>
        </w:rPr>
        <w:t xml:space="preserve"> financijskog plana koji sadrži:</w:t>
      </w:r>
    </w:p>
    <w:p w:rsidR="008B65E5" w:rsidRPr="008B65E5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Sažetak Računa prihoda i rashoda i Računa financiranja</w:t>
      </w:r>
      <w:r>
        <w:rPr>
          <w:rFonts w:ascii="Times New Roman" w:hAnsi="Times New Roman"/>
          <w:sz w:val="24"/>
          <w:szCs w:val="24"/>
        </w:rPr>
        <w:t>,</w:t>
      </w:r>
    </w:p>
    <w:p w:rsidR="004C3390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Račun prihoda i rashoda i Račun financiranja</w:t>
      </w:r>
      <w:r w:rsidR="004C3390">
        <w:rPr>
          <w:rFonts w:ascii="Times New Roman" w:hAnsi="Times New Roman"/>
          <w:sz w:val="24"/>
          <w:szCs w:val="24"/>
        </w:rPr>
        <w:t>,</w:t>
      </w:r>
    </w:p>
    <w:p w:rsidR="008B65E5" w:rsidRPr="008B65E5" w:rsidRDefault="004C3390" w:rsidP="00592CC8">
      <w:pPr>
        <w:pStyle w:val="Bezproreda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B65E5" w:rsidRPr="008B65E5">
        <w:rPr>
          <w:rFonts w:ascii="Times New Roman" w:hAnsi="Times New Roman"/>
          <w:sz w:val="24"/>
          <w:szCs w:val="24"/>
        </w:rPr>
        <w:t>koji se sastoji od prihoda i rashoda iskazanih prema ekonomskoj klasifikaciji i izvorima financiranja i rashoda iskazanih po funkcijskoj klasifikaciji</w:t>
      </w:r>
      <w:r w:rsidR="008B65E5">
        <w:rPr>
          <w:rFonts w:ascii="Times New Roman" w:hAnsi="Times New Roman"/>
          <w:sz w:val="24"/>
          <w:szCs w:val="24"/>
        </w:rPr>
        <w:t>;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Posebn</w:t>
      </w:r>
      <w:r w:rsidR="00BB13BF">
        <w:rPr>
          <w:rFonts w:ascii="Times New Roman" w:hAnsi="Times New Roman"/>
          <w:sz w:val="24"/>
          <w:szCs w:val="24"/>
        </w:rPr>
        <w:t>i</w:t>
      </w:r>
      <w:r w:rsidRPr="008B65E5">
        <w:rPr>
          <w:rFonts w:ascii="Times New Roman" w:hAnsi="Times New Roman"/>
          <w:sz w:val="24"/>
          <w:szCs w:val="24"/>
        </w:rPr>
        <w:t xml:space="preserve"> di</w:t>
      </w:r>
      <w:r w:rsidR="00BB13BF">
        <w:rPr>
          <w:rFonts w:ascii="Times New Roman" w:hAnsi="Times New Roman"/>
          <w:sz w:val="24"/>
          <w:szCs w:val="24"/>
        </w:rPr>
        <w:t>o</w:t>
      </w:r>
      <w:r w:rsidRPr="008B65E5">
        <w:rPr>
          <w:rFonts w:ascii="Times New Roman" w:hAnsi="Times New Roman"/>
          <w:sz w:val="24"/>
          <w:szCs w:val="24"/>
        </w:rPr>
        <w:t xml:space="preserve"> financijskog plana koji se sastoji od rashoda i izdataka iskazanih po izvorima financiranja i ekonomskoj klasifikaciji, raspoređenih u programe koji se sastoje od aktivnosti i projekata.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</w:t>
      </w:r>
      <w:r w:rsidR="00BB13BF">
        <w:rPr>
          <w:rFonts w:ascii="Times New Roman" w:hAnsi="Times New Roman"/>
          <w:sz w:val="24"/>
          <w:szCs w:val="24"/>
        </w:rPr>
        <w:t>e</w:t>
      </w:r>
      <w:r w:rsidRPr="008B65E5">
        <w:rPr>
          <w:rFonts w:ascii="Times New Roman" w:hAnsi="Times New Roman"/>
          <w:sz w:val="24"/>
          <w:szCs w:val="24"/>
        </w:rPr>
        <w:t xml:space="preserve"> financijskog plana koji sačinjavaju:</w:t>
      </w:r>
    </w:p>
    <w:p w:rsidR="008B65E5" w:rsidRPr="008B65E5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općeg dijela financijskog plana:</w:t>
      </w:r>
    </w:p>
    <w:p w:rsidR="008B65E5" w:rsidRPr="008B65E5" w:rsidRDefault="008B65E5" w:rsidP="008B65E5">
      <w:pPr>
        <w:pStyle w:val="Bezproreda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prihoda i rashoda, primitaka i izdataka</w:t>
      </w:r>
      <w:r>
        <w:rPr>
          <w:rFonts w:ascii="Times New Roman" w:hAnsi="Times New Roman"/>
          <w:sz w:val="24"/>
          <w:szCs w:val="24"/>
        </w:rPr>
        <w:t>,</w:t>
      </w:r>
    </w:p>
    <w:p w:rsidR="008B65E5" w:rsidRPr="008B65E5" w:rsidRDefault="008B65E5" w:rsidP="008B65E5">
      <w:pPr>
        <w:pStyle w:val="Bezproreda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prenesenog viška odnosno manjka financijskog plana</w:t>
      </w:r>
      <w:r>
        <w:rPr>
          <w:rFonts w:ascii="Times New Roman" w:hAnsi="Times New Roman"/>
          <w:sz w:val="24"/>
          <w:szCs w:val="24"/>
        </w:rPr>
        <w:t>;</w:t>
      </w:r>
    </w:p>
    <w:p w:rsidR="00F90E8E" w:rsidRPr="004853D8" w:rsidRDefault="008B65E5" w:rsidP="00AC4A1F">
      <w:pPr>
        <w:pStyle w:val="Bezproreda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853D8">
        <w:rPr>
          <w:rFonts w:ascii="Times New Roman" w:hAnsi="Times New Roman"/>
          <w:sz w:val="24"/>
          <w:szCs w:val="24"/>
        </w:rPr>
        <w:t>Obrazloženje posebnog dijela financijskog plana koje se sastoji od obrazloženja aktivnosti i projekata</w:t>
      </w:r>
      <w:r w:rsidR="004853D8">
        <w:rPr>
          <w:rFonts w:ascii="Times New Roman" w:hAnsi="Times New Roman"/>
          <w:sz w:val="24"/>
          <w:szCs w:val="24"/>
        </w:rPr>
        <w:t>.</w:t>
      </w:r>
    </w:p>
    <w:p w:rsidR="008B65E5" w:rsidRPr="008B65E5" w:rsidRDefault="008B65E5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90E8E" w:rsidRDefault="00363AF1" w:rsidP="00DF1A27">
      <w:pPr>
        <w:pStyle w:val="Bezproreda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63AF1">
        <w:rPr>
          <w:rFonts w:ascii="Times New Roman" w:hAnsi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/>
          <w:b/>
          <w:sz w:val="24"/>
          <w:szCs w:val="24"/>
        </w:rPr>
        <w:t>FINANCIJSKOG PLANA</w:t>
      </w:r>
    </w:p>
    <w:p w:rsidR="00363AF1" w:rsidRPr="00655A8F" w:rsidRDefault="00363AF1" w:rsidP="00477A89">
      <w:pPr>
        <w:pStyle w:val="Bezproreda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0482" w:rsidRPr="00655A8F" w:rsidRDefault="001541D9" w:rsidP="003F0482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5A8F">
        <w:rPr>
          <w:rFonts w:ascii="Times New Roman" w:hAnsi="Times New Roman"/>
          <w:color w:val="000000" w:themeColor="text1"/>
          <w:sz w:val="24"/>
          <w:szCs w:val="24"/>
        </w:rPr>
        <w:t>Financijski plan za 2025. godinu te projekciju za 2026. i 2027. godinu izrađen je na temelju Uputa za izradu proračuna Dubrovačko – neretvanske županije za ra</w:t>
      </w:r>
      <w:bookmarkStart w:id="0" w:name="_GoBack"/>
      <w:bookmarkEnd w:id="0"/>
      <w:r w:rsidRPr="00655A8F">
        <w:rPr>
          <w:rFonts w:ascii="Times New Roman" w:hAnsi="Times New Roman"/>
          <w:color w:val="000000" w:themeColor="text1"/>
          <w:sz w:val="24"/>
          <w:szCs w:val="24"/>
        </w:rPr>
        <w:t>zdoblje 202</w:t>
      </w:r>
      <w:r w:rsidR="002A3336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655A8F">
        <w:rPr>
          <w:rFonts w:ascii="Times New Roman" w:hAnsi="Times New Roman"/>
          <w:color w:val="000000" w:themeColor="text1"/>
          <w:sz w:val="24"/>
          <w:szCs w:val="24"/>
        </w:rPr>
        <w:t xml:space="preserve"> – 202</w:t>
      </w:r>
      <w:r w:rsidR="002A3336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655A8F">
        <w:rPr>
          <w:rFonts w:ascii="Times New Roman" w:hAnsi="Times New Roman"/>
          <w:color w:val="000000" w:themeColor="text1"/>
          <w:sz w:val="24"/>
          <w:szCs w:val="24"/>
        </w:rPr>
        <w:t xml:space="preserve"> te na temelju</w:t>
      </w:r>
      <w:r w:rsidRPr="00655A8F">
        <w:rPr>
          <w:rFonts w:ascii="Times New Roman" w:hAnsi="Times New Roman"/>
          <w:color w:val="000000" w:themeColor="text1"/>
          <w:sz w:val="24"/>
          <w:szCs w:val="24"/>
        </w:rPr>
        <w:t xml:space="preserve"> Godišnjeg plana i programa Osnovne škole „Braća Glumac“ za školsku godinu 2024./2025.  </w:t>
      </w:r>
    </w:p>
    <w:p w:rsidR="001541D9" w:rsidRDefault="001541D9" w:rsidP="003F0482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6769" w:rsidRDefault="00AB6769" w:rsidP="00AB676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Strukturu</w:t>
      </w:r>
      <w:r w:rsidRPr="00AB6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financijskog plana za 202</w:t>
      </w:r>
      <w:r w:rsidR="00C14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 čine:</w:t>
      </w:r>
    </w:p>
    <w:p w:rsidR="00AB6769" w:rsidRDefault="00AB6769" w:rsidP="00AB6769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AB6769" w:rsidRP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C1482E">
        <w:rPr>
          <w:rFonts w:ascii="Times New Roman" w:hAnsi="Times New Roman"/>
          <w:sz w:val="24"/>
          <w:szCs w:val="24"/>
        </w:rPr>
        <w:t>82.450</w:t>
      </w:r>
      <w:r>
        <w:rPr>
          <w:rFonts w:ascii="Times New Roman" w:hAnsi="Times New Roman"/>
          <w:sz w:val="24"/>
          <w:szCs w:val="24"/>
        </w:rPr>
        <w:t>,00 EUR</w:t>
      </w:r>
      <w:r w:rsidRPr="00AB6769">
        <w:rPr>
          <w:rFonts w:ascii="Times New Roman" w:hAnsi="Times New Roman"/>
          <w:sz w:val="24"/>
          <w:szCs w:val="24"/>
        </w:rPr>
        <w:tab/>
        <w:t xml:space="preserve">   </w:t>
      </w:r>
      <w:r w:rsidRPr="00AB6769">
        <w:rPr>
          <w:rFonts w:ascii="Times New Roman" w:hAnsi="Times New Roman"/>
          <w:sz w:val="24"/>
          <w:szCs w:val="24"/>
        </w:rPr>
        <w:tab/>
      </w:r>
    </w:p>
    <w:p w:rsid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482E">
        <w:rPr>
          <w:rFonts w:ascii="Times New Roman" w:hAnsi="Times New Roman"/>
          <w:sz w:val="24"/>
          <w:szCs w:val="24"/>
        </w:rPr>
        <w:t>776.950</w:t>
      </w:r>
      <w:r>
        <w:rPr>
          <w:rFonts w:ascii="Times New Roman" w:hAnsi="Times New Roman"/>
          <w:sz w:val="24"/>
          <w:szCs w:val="24"/>
        </w:rPr>
        <w:t>,00 EUR</w:t>
      </w:r>
    </w:p>
    <w:p w:rsid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         5.</w:t>
      </w:r>
      <w:r w:rsidR="00C14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EUR</w:t>
      </w:r>
    </w:p>
    <w:p w:rsidR="00AB6769" w:rsidRDefault="00AB6769" w:rsidP="00C1482E">
      <w:pPr>
        <w:pStyle w:val="Bezproreda"/>
        <w:ind w:left="1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B6769" w:rsidRDefault="00AB6769" w:rsidP="00363AF1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E8E" w:rsidRDefault="00F90E8E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867596" w:rsidRDefault="00867596" w:rsidP="00867596">
      <w:pPr>
        <w:pStyle w:val="Bezproreda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585555">
        <w:rPr>
          <w:rFonts w:ascii="Times New Roman" w:hAnsi="Times New Roman"/>
          <w:i/>
          <w:sz w:val="24"/>
          <w:szCs w:val="24"/>
        </w:rPr>
        <w:lastRenderedPageBreak/>
        <w:t>Ukupni prihodi</w:t>
      </w:r>
      <w:r w:rsidR="003F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planirani su u iznosu </w:t>
      </w:r>
      <w:r w:rsidR="00C1482E">
        <w:rPr>
          <w:rFonts w:ascii="Times New Roman" w:hAnsi="Times New Roman"/>
          <w:sz w:val="24"/>
          <w:szCs w:val="24"/>
        </w:rPr>
        <w:t>782.450,</w:t>
      </w:r>
      <w:r>
        <w:rPr>
          <w:rFonts w:ascii="Times New Roman" w:hAnsi="Times New Roman"/>
          <w:sz w:val="24"/>
          <w:szCs w:val="24"/>
        </w:rPr>
        <w:t>00 eura.</w:t>
      </w:r>
    </w:p>
    <w:p w:rsidR="00867596" w:rsidRDefault="00867596" w:rsidP="0086759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1523"/>
      </w:tblGrid>
      <w:tr w:rsidR="00867596" w:rsidTr="00F24FA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7596" w:rsidRDefault="0086759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7596" w:rsidRDefault="0086759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UKUPNI PRIHODI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D0523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782.450</w:t>
            </w:r>
            <w:r w:rsidR="00867596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Prihodi poslovanja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D0523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782.450</w:t>
            </w:r>
            <w:r w:rsidR="00867596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iz nenadležnog proračuna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5D3270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677.357,00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prodaje proizvoda i usluga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3C75C6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59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3C75C6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675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iz nadležnog proračuna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5D3270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104.293</w:t>
            </w:r>
            <w:r w:rsidR="008D05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67596" w:rsidRDefault="00867596" w:rsidP="0086759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7596" w:rsidRDefault="00867596" w:rsidP="008675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izvorima financiranja, prihodi </w:t>
      </w:r>
      <w:r w:rsidR="003F0482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>planirani kako slijedi: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1523"/>
      </w:tblGrid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Opći prihodi i primici </w:t>
            </w:r>
            <w:r w:rsidR="00802F75">
              <w:rPr>
                <w:rFonts w:ascii="Times New Roman" w:hAnsi="Times New Roman"/>
                <w:sz w:val="24"/>
                <w:szCs w:val="24"/>
              </w:rPr>
              <w:t>– nadležni proračun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A837B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16.733,00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Vlastiti prihodi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A837B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8675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za posebne namjene</w:t>
            </w:r>
            <w:r w:rsidR="003F0482">
              <w:rPr>
                <w:rFonts w:ascii="Times New Roman" w:hAnsi="Times New Roman"/>
                <w:sz w:val="24"/>
                <w:szCs w:val="24"/>
              </w:rPr>
              <w:t xml:space="preserve"> – decentralizirana sredstva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A837B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87.560,00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A837B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677.357,00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A837B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9E52B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585555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2F634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782.450,00</w:t>
            </w:r>
          </w:p>
        </w:tc>
      </w:tr>
    </w:tbl>
    <w:p w:rsidR="00981859" w:rsidRDefault="00981859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Pomoći iz nenadležnog proračuna najvećim se dijelom odnose na pomoći od M</w:t>
      </w:r>
      <w:r w:rsidR="009E52B5">
        <w:rPr>
          <w:rFonts w:ascii="Times New Roman" w:hAnsi="Times New Roman"/>
          <w:sz w:val="24"/>
          <w:szCs w:val="24"/>
        </w:rPr>
        <w:t>inistarstva znanosti, obrazovanja i mladih</w:t>
      </w:r>
      <w:r>
        <w:rPr>
          <w:rFonts w:ascii="Times New Roman" w:hAnsi="Times New Roman"/>
          <w:sz w:val="24"/>
          <w:szCs w:val="24"/>
        </w:rPr>
        <w:t xml:space="preserve"> za financiranje rashoda za zaposlene koji se isplaćuju iz državnog proračuna i naknadu za nezapošljavanje invalida, na pomoći iz </w:t>
      </w:r>
      <w:r w:rsidR="009E52B5">
        <w:rPr>
          <w:rFonts w:ascii="Times New Roman" w:hAnsi="Times New Roman"/>
          <w:sz w:val="24"/>
          <w:szCs w:val="24"/>
        </w:rPr>
        <w:t>Ministarstva znanosti, obrazovanja i mladih</w:t>
      </w:r>
      <w:r>
        <w:rPr>
          <w:rFonts w:ascii="Times New Roman" w:hAnsi="Times New Roman"/>
          <w:sz w:val="24"/>
          <w:szCs w:val="24"/>
        </w:rPr>
        <w:t xml:space="preserve"> za nabavu udžbenika za učenike</w:t>
      </w:r>
      <w:r w:rsidR="009E52B5">
        <w:rPr>
          <w:rFonts w:ascii="Times New Roman" w:hAnsi="Times New Roman"/>
          <w:sz w:val="24"/>
          <w:szCs w:val="24"/>
        </w:rPr>
        <w:t>, za školsku prehranu te za opskrbu higijenskim potrepštinama za učenice.</w:t>
      </w:r>
      <w:r>
        <w:rPr>
          <w:rFonts w:ascii="Times New Roman" w:hAnsi="Times New Roman"/>
          <w:sz w:val="24"/>
          <w:szCs w:val="24"/>
        </w:rPr>
        <w:t xml:space="preserve"> Dio prihoda iz nenadležnog proračuna odnosi se na</w:t>
      </w:r>
      <w:r w:rsidR="00585555">
        <w:rPr>
          <w:rFonts w:ascii="Times New Roman" w:hAnsi="Times New Roman"/>
          <w:sz w:val="24"/>
          <w:szCs w:val="24"/>
        </w:rPr>
        <w:t xml:space="preserve"> sredstva</w:t>
      </w:r>
      <w:r>
        <w:rPr>
          <w:rFonts w:ascii="Times New Roman" w:hAnsi="Times New Roman"/>
          <w:sz w:val="24"/>
          <w:szCs w:val="24"/>
        </w:rPr>
        <w:t xml:space="preserve"> od </w:t>
      </w:r>
      <w:r w:rsidR="009E52B5">
        <w:rPr>
          <w:rFonts w:ascii="Times New Roman" w:hAnsi="Times New Roman"/>
          <w:sz w:val="24"/>
          <w:szCs w:val="24"/>
        </w:rPr>
        <w:t xml:space="preserve">Općine Lastovo </w:t>
      </w:r>
      <w:r>
        <w:rPr>
          <w:rFonts w:ascii="Times New Roman" w:hAnsi="Times New Roman"/>
          <w:sz w:val="24"/>
          <w:szCs w:val="24"/>
        </w:rPr>
        <w:t xml:space="preserve">za </w:t>
      </w:r>
      <w:r w:rsidR="009E52B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financiranje </w:t>
      </w:r>
      <w:r w:rsidR="009E52B5">
        <w:rPr>
          <w:rFonts w:ascii="Times New Roman" w:hAnsi="Times New Roman"/>
          <w:sz w:val="24"/>
          <w:szCs w:val="24"/>
        </w:rPr>
        <w:t xml:space="preserve">smještaja učitelja. </w:t>
      </w:r>
    </w:p>
    <w:p w:rsidR="009E52B5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prodaje proizvoda i usluga odnose se na prihode </w:t>
      </w:r>
      <w:r w:rsidR="009E52B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prodaj</w:t>
      </w:r>
      <w:r w:rsidR="009E52B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proizvoda </w:t>
      </w:r>
      <w:r w:rsidR="009E52B5">
        <w:rPr>
          <w:rFonts w:ascii="Times New Roman" w:hAnsi="Times New Roman"/>
          <w:sz w:val="24"/>
          <w:szCs w:val="24"/>
        </w:rPr>
        <w:t xml:space="preserve">zadruge „Moj </w:t>
      </w:r>
      <w:proofErr w:type="spellStart"/>
      <w:r w:rsidR="009E52B5">
        <w:rPr>
          <w:rFonts w:ascii="Times New Roman" w:hAnsi="Times New Roman"/>
          <w:sz w:val="24"/>
          <w:szCs w:val="24"/>
        </w:rPr>
        <w:t>škoj</w:t>
      </w:r>
      <w:proofErr w:type="spellEnd"/>
      <w:r w:rsidR="009E52B5">
        <w:rPr>
          <w:rFonts w:ascii="Times New Roman" w:hAnsi="Times New Roman"/>
          <w:sz w:val="24"/>
          <w:szCs w:val="24"/>
        </w:rPr>
        <w:t>“.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Donacije se odnose na</w:t>
      </w:r>
      <w:r w:rsidR="009E52B5">
        <w:rPr>
          <w:rFonts w:ascii="Times New Roman" w:hAnsi="Times New Roman"/>
          <w:sz w:val="24"/>
          <w:szCs w:val="24"/>
        </w:rPr>
        <w:t xml:space="preserve"> donacij</w:t>
      </w:r>
      <w:r w:rsidR="00981859">
        <w:rPr>
          <w:rFonts w:ascii="Times New Roman" w:hAnsi="Times New Roman"/>
          <w:sz w:val="24"/>
          <w:szCs w:val="24"/>
        </w:rPr>
        <w:t xml:space="preserve">u </w:t>
      </w:r>
      <w:r w:rsidR="006F2A31" w:rsidRPr="006F2A31">
        <w:rPr>
          <w:rFonts w:ascii="Times New Roman" w:hAnsi="Times New Roman"/>
          <w:sz w:val="24"/>
          <w:szCs w:val="24"/>
        </w:rPr>
        <w:t>Udrug</w:t>
      </w:r>
      <w:r w:rsidR="006F2A31">
        <w:rPr>
          <w:rFonts w:ascii="Times New Roman" w:hAnsi="Times New Roman"/>
          <w:sz w:val="24"/>
          <w:szCs w:val="24"/>
        </w:rPr>
        <w:t>e</w:t>
      </w:r>
      <w:r w:rsidR="006F2A31" w:rsidRPr="006F2A31">
        <w:rPr>
          <w:rFonts w:ascii="Times New Roman" w:hAnsi="Times New Roman"/>
          <w:sz w:val="24"/>
          <w:szCs w:val="24"/>
        </w:rPr>
        <w:t xml:space="preserve"> Festival mediteranskog filma Split</w:t>
      </w:r>
      <w:r w:rsidR="00981859">
        <w:rPr>
          <w:rFonts w:ascii="Times New Roman" w:hAnsi="Times New Roman"/>
          <w:sz w:val="24"/>
          <w:szCs w:val="24"/>
        </w:rPr>
        <w:t xml:space="preserve"> te ostale donacije</w:t>
      </w:r>
      <w:r w:rsidR="009E52B5">
        <w:rPr>
          <w:rFonts w:ascii="Times New Roman" w:hAnsi="Times New Roman"/>
          <w:sz w:val="24"/>
          <w:szCs w:val="24"/>
        </w:rPr>
        <w:t xml:space="preserve"> fizičkih osoba za </w:t>
      </w:r>
      <w:r w:rsidR="00981859">
        <w:rPr>
          <w:rFonts w:ascii="Times New Roman" w:hAnsi="Times New Roman"/>
          <w:sz w:val="24"/>
          <w:szCs w:val="24"/>
        </w:rPr>
        <w:t>potrebe Škole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iz nadležnog proračun odnose se na </w:t>
      </w:r>
      <w:r w:rsidR="009E52B5">
        <w:rPr>
          <w:rFonts w:ascii="Times New Roman" w:hAnsi="Times New Roman"/>
          <w:sz w:val="24"/>
          <w:szCs w:val="24"/>
        </w:rPr>
        <w:t xml:space="preserve">sredstva </w:t>
      </w:r>
      <w:r w:rsidR="00585555">
        <w:rPr>
          <w:rFonts w:ascii="Times New Roman" w:hAnsi="Times New Roman"/>
          <w:sz w:val="24"/>
          <w:szCs w:val="24"/>
        </w:rPr>
        <w:t xml:space="preserve">osnivača </w:t>
      </w:r>
      <w:r w:rsidR="009E52B5">
        <w:rPr>
          <w:rFonts w:ascii="Times New Roman" w:hAnsi="Times New Roman"/>
          <w:sz w:val="24"/>
          <w:szCs w:val="24"/>
        </w:rPr>
        <w:t xml:space="preserve">Dubrovačko-neretvanske županije </w:t>
      </w:r>
      <w:r>
        <w:rPr>
          <w:rFonts w:ascii="Times New Roman" w:hAnsi="Times New Roman"/>
          <w:sz w:val="24"/>
          <w:szCs w:val="24"/>
        </w:rPr>
        <w:t xml:space="preserve">za </w:t>
      </w:r>
      <w:r w:rsidR="009E52B5">
        <w:rPr>
          <w:rFonts w:ascii="Times New Roman" w:hAnsi="Times New Roman"/>
          <w:sz w:val="24"/>
          <w:szCs w:val="24"/>
        </w:rPr>
        <w:t xml:space="preserve">materijalne i financijske rashode za </w:t>
      </w:r>
      <w:r w:rsidR="00802F75">
        <w:rPr>
          <w:rFonts w:ascii="Times New Roman" w:hAnsi="Times New Roman"/>
          <w:sz w:val="24"/>
          <w:szCs w:val="24"/>
        </w:rPr>
        <w:t>redovno poslovanje</w:t>
      </w:r>
      <w:r w:rsidR="009E52B5">
        <w:rPr>
          <w:rFonts w:ascii="Times New Roman" w:hAnsi="Times New Roman"/>
          <w:sz w:val="24"/>
          <w:szCs w:val="24"/>
        </w:rPr>
        <w:t xml:space="preserve">, za </w:t>
      </w:r>
      <w:r w:rsidR="00A829D4">
        <w:rPr>
          <w:rFonts w:ascii="Times New Roman" w:hAnsi="Times New Roman"/>
          <w:sz w:val="24"/>
          <w:szCs w:val="24"/>
        </w:rPr>
        <w:t xml:space="preserve">financiranje </w:t>
      </w:r>
      <w:r w:rsidR="00802F75">
        <w:rPr>
          <w:rFonts w:ascii="Times New Roman" w:hAnsi="Times New Roman"/>
          <w:sz w:val="24"/>
          <w:szCs w:val="24"/>
        </w:rPr>
        <w:t xml:space="preserve">rashoda za </w:t>
      </w:r>
      <w:r w:rsidR="00D2494F">
        <w:rPr>
          <w:rFonts w:ascii="Times New Roman" w:hAnsi="Times New Roman"/>
          <w:sz w:val="24"/>
          <w:szCs w:val="24"/>
        </w:rPr>
        <w:t>dva</w:t>
      </w:r>
      <w:r w:rsidR="00A829D4">
        <w:rPr>
          <w:rFonts w:ascii="Times New Roman" w:hAnsi="Times New Roman"/>
          <w:sz w:val="24"/>
          <w:szCs w:val="24"/>
        </w:rPr>
        <w:t xml:space="preserve"> pomoćnika u nastavi, za </w:t>
      </w:r>
      <w:r w:rsidR="00802F75">
        <w:rPr>
          <w:rFonts w:ascii="Times New Roman" w:hAnsi="Times New Roman"/>
          <w:sz w:val="24"/>
          <w:szCs w:val="24"/>
        </w:rPr>
        <w:t xml:space="preserve">školske projekte </w:t>
      </w:r>
      <w:r w:rsidR="002A3336">
        <w:rPr>
          <w:rFonts w:ascii="Times New Roman" w:hAnsi="Times New Roman"/>
          <w:sz w:val="24"/>
          <w:szCs w:val="24"/>
        </w:rPr>
        <w:t xml:space="preserve">te za investicijska </w:t>
      </w:r>
      <w:r w:rsidR="00DA64CC">
        <w:rPr>
          <w:rFonts w:ascii="Times New Roman" w:hAnsi="Times New Roman"/>
          <w:sz w:val="24"/>
          <w:szCs w:val="24"/>
        </w:rPr>
        <w:t xml:space="preserve">i kapitalna </w:t>
      </w:r>
      <w:r w:rsidR="002A3336">
        <w:rPr>
          <w:rFonts w:ascii="Times New Roman" w:hAnsi="Times New Roman"/>
          <w:sz w:val="24"/>
          <w:szCs w:val="24"/>
        </w:rPr>
        <w:t>ulaganja.</w:t>
      </w:r>
    </w:p>
    <w:p w:rsidR="00DF1A27" w:rsidRDefault="00DF1A27" w:rsidP="0058555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2F75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585555">
        <w:rPr>
          <w:rFonts w:ascii="Times New Roman" w:hAnsi="Times New Roman"/>
          <w:i/>
          <w:sz w:val="24"/>
          <w:szCs w:val="24"/>
        </w:rPr>
        <w:t>Ukupni rashodi</w:t>
      </w:r>
      <w:r>
        <w:rPr>
          <w:rFonts w:ascii="Times New Roman" w:hAnsi="Times New Roman"/>
          <w:sz w:val="24"/>
          <w:szCs w:val="24"/>
        </w:rPr>
        <w:t xml:space="preserve"> planirani su u iznosu </w:t>
      </w:r>
      <w:r w:rsidR="006F2A31">
        <w:rPr>
          <w:rFonts w:ascii="Times New Roman" w:hAnsi="Times New Roman"/>
          <w:sz w:val="24"/>
          <w:szCs w:val="24"/>
        </w:rPr>
        <w:t xml:space="preserve">782.450,00 </w:t>
      </w:r>
      <w:r w:rsidR="00802F75">
        <w:rPr>
          <w:rFonts w:ascii="Times New Roman" w:hAnsi="Times New Roman"/>
          <w:sz w:val="24"/>
          <w:szCs w:val="24"/>
        </w:rPr>
        <w:t>eura.</w:t>
      </w: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pStyle w:val="Bezproreda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 rashoda prema ekonomskoj klasifikaciji na razini skupine daje se u tabličnom prikazu: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515"/>
      </w:tblGrid>
      <w:tr w:rsidR="00DF1A27" w:rsidTr="00F24FAF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1A27" w:rsidRDefault="00DF1A2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1A27" w:rsidRDefault="00DF1A2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02F75" w:rsidP="005C62E7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730.747,00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 w:rsidP="00DF1A27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Rashodi poslovanja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4B365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760.150</w:t>
            </w:r>
            <w:r w:rsidR="00802F7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a) rashodi za zaposlene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C739F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653.246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b) materijalni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C739F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103.047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c) financijski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C739F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naknade građanima iz proračuna u naravi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C739F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ostali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02F75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 w:rsidP="00DF1A27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Rashodi za nabavu nefinancijske imovine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4B365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5.500,00</w:t>
            </w:r>
          </w:p>
        </w:tc>
      </w:tr>
    </w:tbl>
    <w:p w:rsidR="00DA64CC" w:rsidRDefault="00DA64CC" w:rsidP="005C62E7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A64CC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Prema izvorima financiranja, rashodi za 202</w:t>
      </w:r>
      <w:r w:rsidR="00AB15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 </w:t>
      </w:r>
      <w:r w:rsidR="00DA64CC">
        <w:rPr>
          <w:rFonts w:ascii="Times New Roman" w:hAnsi="Times New Roman"/>
          <w:sz w:val="24"/>
          <w:szCs w:val="24"/>
        </w:rPr>
        <w:t>strukturom prate prihode.</w:t>
      </w:r>
    </w:p>
    <w:p w:rsidR="00DA64CC" w:rsidRPr="00DA64CC" w:rsidRDefault="00DA64CC" w:rsidP="00DA64CC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</w:t>
      </w:r>
      <w:r w:rsidR="00585555">
        <w:rPr>
          <w:rFonts w:ascii="Times New Roman" w:hAnsi="Times New Roman"/>
          <w:sz w:val="24"/>
          <w:szCs w:val="24"/>
        </w:rPr>
        <w:t>shodi</w:t>
      </w:r>
      <w:r>
        <w:rPr>
          <w:rFonts w:ascii="Times New Roman" w:hAnsi="Times New Roman"/>
          <w:sz w:val="24"/>
          <w:szCs w:val="24"/>
        </w:rPr>
        <w:t xml:space="preserve"> poslovanja planirani su u iznosu od</w:t>
      </w:r>
      <w:r w:rsidR="005C62E7">
        <w:rPr>
          <w:rFonts w:ascii="Times New Roman" w:hAnsi="Times New Roman"/>
          <w:sz w:val="24"/>
          <w:szCs w:val="24"/>
        </w:rPr>
        <w:t xml:space="preserve"> 760.150</w:t>
      </w:r>
      <w:r w:rsidR="000E4FEF">
        <w:rPr>
          <w:rFonts w:ascii="Times New Roman" w:hAnsi="Times New Roman"/>
          <w:sz w:val="24"/>
          <w:szCs w:val="24"/>
        </w:rPr>
        <w:t>,00 eura.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zaposlene odnose se na bruto plaće zaposlenika</w:t>
      </w:r>
      <w:r w:rsidR="003D6C7E">
        <w:rPr>
          <w:rFonts w:ascii="Times New Roman" w:hAnsi="Times New Roman"/>
          <w:sz w:val="24"/>
          <w:szCs w:val="24"/>
        </w:rPr>
        <w:t xml:space="preserve"> (23 zaposlenika, od čega dva pomoćnika u nastavi)</w:t>
      </w:r>
      <w:r>
        <w:rPr>
          <w:rFonts w:ascii="Times New Roman" w:hAnsi="Times New Roman"/>
          <w:sz w:val="24"/>
          <w:szCs w:val="24"/>
        </w:rPr>
        <w:t xml:space="preserve"> te na ostale rashode za zaposlene i doprinose na plaću.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 obuhvaćaju rashode za potrebe redovnog poslovanja (službena putovanja, stručno usavršavanje zaposlenika,</w:t>
      </w:r>
      <w:r w:rsidR="00F24FAF">
        <w:rPr>
          <w:rFonts w:ascii="Times New Roman" w:hAnsi="Times New Roman"/>
          <w:sz w:val="24"/>
          <w:szCs w:val="24"/>
        </w:rPr>
        <w:t xml:space="preserve"> uredski materijal i ostali materijalni rashodi,</w:t>
      </w:r>
      <w:r>
        <w:rPr>
          <w:rFonts w:ascii="Times New Roman" w:hAnsi="Times New Roman"/>
          <w:sz w:val="24"/>
          <w:szCs w:val="24"/>
        </w:rPr>
        <w:t xml:space="preserve"> </w:t>
      </w:r>
      <w:r w:rsidR="00F24FAF">
        <w:rPr>
          <w:rFonts w:ascii="Times New Roman" w:hAnsi="Times New Roman"/>
          <w:sz w:val="24"/>
          <w:szCs w:val="24"/>
        </w:rPr>
        <w:t>nabava namirnica za prehranu učenika, e</w:t>
      </w:r>
      <w:r>
        <w:rPr>
          <w:rFonts w:ascii="Times New Roman" w:hAnsi="Times New Roman"/>
          <w:sz w:val="24"/>
          <w:szCs w:val="24"/>
        </w:rPr>
        <w:t>nergij</w:t>
      </w:r>
      <w:r w:rsidR="00F24FA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materijal</w:t>
      </w:r>
      <w:r w:rsidR="00F24FAF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usluge tekućeg održavanja, rashode za usluge telefona, pošte i prijevoza, zdravstvene usluge, računaln</w:t>
      </w:r>
      <w:r w:rsidR="00F24FA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usluge i ostale usluge, intelektualne usluge, članarine). 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rashodi odnose se na usluge platnog prometa i zatezne kamate.</w:t>
      </w:r>
    </w:p>
    <w:p w:rsidR="000E4FEF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Naknade građanima iz proračuna u naravi odnose se na nabavu </w:t>
      </w:r>
      <w:r w:rsidR="000E4FEF">
        <w:rPr>
          <w:rFonts w:ascii="Times New Roman" w:hAnsi="Times New Roman"/>
          <w:sz w:val="24"/>
          <w:szCs w:val="24"/>
        </w:rPr>
        <w:t>radnih bilježnica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E4FEF">
        <w:rPr>
          <w:rFonts w:ascii="Times New Roman" w:hAnsi="Times New Roman"/>
          <w:sz w:val="24"/>
          <w:szCs w:val="24"/>
        </w:rPr>
        <w:t>koje financira Dubrovačko-neretvanska županija.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rashodi odnose se na nabavu higijenskih potrepština za učenice koje financira M</w:t>
      </w:r>
      <w:r w:rsidR="000E4FEF">
        <w:rPr>
          <w:rFonts w:ascii="Times New Roman" w:hAnsi="Times New Roman"/>
          <w:sz w:val="24"/>
          <w:szCs w:val="24"/>
        </w:rPr>
        <w:t>inistarstvo</w:t>
      </w:r>
      <w:r w:rsidR="005C62E7">
        <w:rPr>
          <w:rFonts w:ascii="Times New Roman" w:hAnsi="Times New Roman"/>
          <w:sz w:val="24"/>
          <w:szCs w:val="24"/>
        </w:rPr>
        <w:t xml:space="preserve"> </w:t>
      </w:r>
      <w:r w:rsidR="000E4FEF">
        <w:rPr>
          <w:rFonts w:ascii="Times New Roman" w:hAnsi="Times New Roman"/>
          <w:sz w:val="24"/>
          <w:szCs w:val="24"/>
        </w:rPr>
        <w:t>znanosti, obrazovanja i mladih</w:t>
      </w:r>
      <w:r>
        <w:rPr>
          <w:rFonts w:ascii="Times New Roman" w:hAnsi="Times New Roman"/>
          <w:sz w:val="24"/>
          <w:szCs w:val="24"/>
        </w:rPr>
        <w:t>.</w:t>
      </w:r>
    </w:p>
    <w:p w:rsidR="00DF1A27" w:rsidRDefault="00DF1A27" w:rsidP="00DF1A2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planirani su u iznosu </w:t>
      </w:r>
      <w:r w:rsidR="000E4FEF">
        <w:rPr>
          <w:rFonts w:ascii="Times New Roman" w:hAnsi="Times New Roman"/>
          <w:sz w:val="24"/>
          <w:szCs w:val="24"/>
        </w:rPr>
        <w:t>5.</w:t>
      </w:r>
      <w:r w:rsidR="005C62E7">
        <w:rPr>
          <w:rFonts w:ascii="Times New Roman" w:hAnsi="Times New Roman"/>
          <w:sz w:val="24"/>
          <w:szCs w:val="24"/>
        </w:rPr>
        <w:t>5</w:t>
      </w:r>
      <w:r w:rsidR="000E4FEF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eura i odnose se</w:t>
      </w:r>
      <w:r w:rsidR="00585555">
        <w:rPr>
          <w:rFonts w:ascii="Times New Roman" w:hAnsi="Times New Roman"/>
          <w:sz w:val="24"/>
          <w:szCs w:val="24"/>
        </w:rPr>
        <w:t xml:space="preserve"> na nabavu</w:t>
      </w:r>
      <w:r>
        <w:rPr>
          <w:rFonts w:ascii="Times New Roman" w:hAnsi="Times New Roman"/>
          <w:sz w:val="24"/>
          <w:szCs w:val="24"/>
        </w:rPr>
        <w:t xml:space="preserve"> udžbenika za učenike</w:t>
      </w:r>
      <w:r w:rsidR="000E4FEF">
        <w:rPr>
          <w:rFonts w:ascii="Times New Roman" w:hAnsi="Times New Roman"/>
          <w:sz w:val="24"/>
          <w:szCs w:val="24"/>
        </w:rPr>
        <w:t xml:space="preserve"> koje financira Ministarstv</w:t>
      </w:r>
      <w:r w:rsidR="005C62E7">
        <w:rPr>
          <w:rFonts w:ascii="Times New Roman" w:hAnsi="Times New Roman"/>
          <w:sz w:val="24"/>
          <w:szCs w:val="24"/>
        </w:rPr>
        <w:t>o</w:t>
      </w:r>
      <w:r w:rsidR="000E4FEF">
        <w:rPr>
          <w:rFonts w:ascii="Times New Roman" w:hAnsi="Times New Roman"/>
          <w:sz w:val="24"/>
          <w:szCs w:val="24"/>
        </w:rPr>
        <w:t xml:space="preserve"> znanosti, obrazovanja i mladih.</w:t>
      </w:r>
    </w:p>
    <w:p w:rsidR="005C62E7" w:rsidRDefault="005C62E7" w:rsidP="00DF1A27">
      <w:pPr>
        <w:shd w:val="clear" w:color="auto" w:fill="FFFFFF"/>
        <w:jc w:val="both"/>
        <w:rPr>
          <w:rFonts w:eastAsia="Times New Roman"/>
          <w:szCs w:val="24"/>
        </w:rPr>
      </w:pPr>
    </w:p>
    <w:p w:rsidR="00DF1A27" w:rsidRPr="00DF1A27" w:rsidRDefault="00DF1A27" w:rsidP="00DF1A27">
      <w:pPr>
        <w:pStyle w:val="Odlomakpopisa"/>
        <w:numPr>
          <w:ilvl w:val="0"/>
          <w:numId w:val="11"/>
        </w:numPr>
        <w:shd w:val="clear" w:color="auto" w:fill="FFFFFF"/>
        <w:jc w:val="both"/>
        <w:rPr>
          <w:rFonts w:eastAsia="Times New Roman"/>
          <w:b/>
          <w:szCs w:val="24"/>
        </w:rPr>
      </w:pPr>
      <w:r w:rsidRPr="00DF1A27">
        <w:rPr>
          <w:rFonts w:eastAsia="Times New Roman"/>
          <w:b/>
          <w:szCs w:val="24"/>
        </w:rPr>
        <w:t>OBRAZLOŽENJE POSEBNOG DIJELA FINANCIJSKOG PLANA</w:t>
      </w:r>
      <w:r w:rsidR="006727E9">
        <w:rPr>
          <w:rFonts w:eastAsia="Times New Roman"/>
          <w:b/>
          <w:szCs w:val="24"/>
        </w:rPr>
        <w:t xml:space="preserve"> </w:t>
      </w:r>
    </w:p>
    <w:p w:rsidR="00DF1A27" w:rsidRPr="00DF1A27" w:rsidRDefault="00DF1A27" w:rsidP="00DF1A27">
      <w:pPr>
        <w:shd w:val="clear" w:color="auto" w:fill="FFFFFF"/>
        <w:jc w:val="both"/>
        <w:rPr>
          <w:rFonts w:eastAsia="Times New Roman"/>
          <w:b/>
          <w:szCs w:val="24"/>
        </w:rPr>
      </w:pPr>
    </w:p>
    <w:p w:rsidR="00F90E8E" w:rsidRDefault="0010261E" w:rsidP="0010261E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10261E">
        <w:rPr>
          <w:rFonts w:ascii="Times New Roman" w:hAnsi="Times New Roman"/>
          <w:sz w:val="24"/>
          <w:szCs w:val="24"/>
        </w:rPr>
        <w:t xml:space="preserve">U nastavku su prikazane glavni projekti i aktivnosti </w:t>
      </w:r>
      <w:r w:rsidR="006727E9">
        <w:rPr>
          <w:rFonts w:ascii="Times New Roman" w:hAnsi="Times New Roman"/>
          <w:sz w:val="24"/>
          <w:szCs w:val="24"/>
        </w:rPr>
        <w:t xml:space="preserve">zajedno s ciljevima </w:t>
      </w:r>
      <w:r w:rsidRPr="0010261E">
        <w:rPr>
          <w:rFonts w:ascii="Times New Roman" w:hAnsi="Times New Roman"/>
          <w:sz w:val="24"/>
          <w:szCs w:val="24"/>
        </w:rPr>
        <w:t>te obrazlože</w:t>
      </w:r>
      <w:r w:rsidR="004853D8">
        <w:rPr>
          <w:rFonts w:ascii="Times New Roman" w:hAnsi="Times New Roman"/>
          <w:sz w:val="24"/>
          <w:szCs w:val="24"/>
        </w:rPr>
        <w:t>ne</w:t>
      </w:r>
      <w:r w:rsidRPr="0010261E">
        <w:rPr>
          <w:rFonts w:ascii="Times New Roman" w:hAnsi="Times New Roman"/>
          <w:sz w:val="24"/>
          <w:szCs w:val="24"/>
        </w:rPr>
        <w:t xml:space="preserve"> </w:t>
      </w:r>
      <w:r w:rsidR="004853D8">
        <w:rPr>
          <w:rFonts w:ascii="Times New Roman" w:hAnsi="Times New Roman"/>
          <w:sz w:val="24"/>
          <w:szCs w:val="24"/>
        </w:rPr>
        <w:t>istih.</w:t>
      </w: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6727E9" w:rsidRPr="006727E9" w:rsidTr="00DD43BB">
        <w:tc>
          <w:tcPr>
            <w:tcW w:w="797" w:type="dxa"/>
            <w:shd w:val="clear" w:color="auto" w:fill="F2F2F2" w:themeFill="background1" w:themeFillShade="F2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6727E9" w:rsidRDefault="006727E9" w:rsidP="006727E9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Plan</w:t>
            </w:r>
          </w:p>
          <w:p w:rsidR="006727E9" w:rsidRPr="006727E9" w:rsidRDefault="006727E9" w:rsidP="006727E9">
            <w:pPr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2025.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727E9" w:rsidRPr="006727E9" w:rsidRDefault="006727E9" w:rsidP="006727E9">
            <w:pPr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Projekcija 2026.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727E9" w:rsidRPr="006727E9" w:rsidRDefault="006727E9" w:rsidP="006727E9">
            <w:pPr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Projekcija  2027.</w:t>
            </w:r>
          </w:p>
        </w:tc>
      </w:tr>
      <w:tr w:rsidR="006727E9" w:rsidRPr="006727E9" w:rsidTr="00DD43BB">
        <w:tc>
          <w:tcPr>
            <w:tcW w:w="797" w:type="dxa"/>
            <w:vAlign w:val="center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1.</w:t>
            </w:r>
          </w:p>
        </w:tc>
        <w:tc>
          <w:tcPr>
            <w:tcW w:w="4458" w:type="dxa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Eu projekti</w:t>
            </w:r>
          </w:p>
        </w:tc>
        <w:tc>
          <w:tcPr>
            <w:tcW w:w="1266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19.850,00</w:t>
            </w:r>
          </w:p>
        </w:tc>
        <w:tc>
          <w:tcPr>
            <w:tcW w:w="1418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19.850,00</w:t>
            </w:r>
          </w:p>
        </w:tc>
        <w:tc>
          <w:tcPr>
            <w:tcW w:w="1417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19.850,00</w:t>
            </w:r>
          </w:p>
        </w:tc>
      </w:tr>
      <w:tr w:rsidR="006727E9" w:rsidRPr="006727E9" w:rsidTr="00DD43BB">
        <w:tc>
          <w:tcPr>
            <w:tcW w:w="797" w:type="dxa"/>
            <w:vAlign w:val="center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2.</w:t>
            </w:r>
          </w:p>
        </w:tc>
        <w:tc>
          <w:tcPr>
            <w:tcW w:w="4458" w:type="dxa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742.085,00</w:t>
            </w:r>
          </w:p>
        </w:tc>
        <w:tc>
          <w:tcPr>
            <w:tcW w:w="1418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742.085,00</w:t>
            </w:r>
          </w:p>
        </w:tc>
        <w:tc>
          <w:tcPr>
            <w:tcW w:w="1417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742.085,00</w:t>
            </w:r>
          </w:p>
        </w:tc>
      </w:tr>
      <w:tr w:rsidR="006727E9" w:rsidRPr="006727E9" w:rsidTr="00DD43BB">
        <w:tc>
          <w:tcPr>
            <w:tcW w:w="797" w:type="dxa"/>
            <w:vAlign w:val="center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3.</w:t>
            </w:r>
          </w:p>
        </w:tc>
        <w:tc>
          <w:tcPr>
            <w:tcW w:w="4458" w:type="dxa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20.515,00</w:t>
            </w:r>
          </w:p>
        </w:tc>
        <w:tc>
          <w:tcPr>
            <w:tcW w:w="1418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19.765,00</w:t>
            </w:r>
          </w:p>
        </w:tc>
        <w:tc>
          <w:tcPr>
            <w:tcW w:w="1417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19.765,00</w:t>
            </w:r>
          </w:p>
        </w:tc>
      </w:tr>
      <w:tr w:rsidR="006727E9" w:rsidRPr="006727E9" w:rsidTr="00DD43BB">
        <w:tc>
          <w:tcPr>
            <w:tcW w:w="797" w:type="dxa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4458" w:type="dxa"/>
          </w:tcPr>
          <w:p w:rsidR="006727E9" w:rsidRPr="006727E9" w:rsidRDefault="006727E9" w:rsidP="006727E9">
            <w:pPr>
              <w:jc w:val="both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UKUPNO:</w:t>
            </w:r>
          </w:p>
        </w:tc>
        <w:tc>
          <w:tcPr>
            <w:tcW w:w="1266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782.450,00</w:t>
            </w:r>
          </w:p>
        </w:tc>
        <w:tc>
          <w:tcPr>
            <w:tcW w:w="1418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781.700,00</w:t>
            </w:r>
          </w:p>
        </w:tc>
        <w:tc>
          <w:tcPr>
            <w:tcW w:w="1417" w:type="dxa"/>
            <w:vAlign w:val="center"/>
          </w:tcPr>
          <w:p w:rsidR="006727E9" w:rsidRPr="006727E9" w:rsidRDefault="006727E9" w:rsidP="006727E9">
            <w:pPr>
              <w:jc w:val="right"/>
              <w:rPr>
                <w:rFonts w:eastAsia="Times New Roman"/>
                <w:b/>
                <w:sz w:val="22"/>
              </w:rPr>
            </w:pPr>
            <w:r w:rsidRPr="006727E9">
              <w:rPr>
                <w:rFonts w:eastAsia="Times New Roman"/>
                <w:b/>
                <w:sz w:val="22"/>
              </w:rPr>
              <w:t>781.700,00</w:t>
            </w:r>
          </w:p>
        </w:tc>
      </w:tr>
    </w:tbl>
    <w:p w:rsidR="006727E9" w:rsidRDefault="006727E9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6727E9" w:rsidRPr="006A7229" w:rsidTr="00DD43BB">
        <w:tc>
          <w:tcPr>
            <w:tcW w:w="1985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27E9" w:rsidRPr="006A7229" w:rsidTr="00DD43BB">
        <w:tc>
          <w:tcPr>
            <w:tcW w:w="1985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27E9" w:rsidRPr="006A7229" w:rsidTr="00DD43BB">
        <w:trPr>
          <w:trHeight w:val="2359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SVE! – osiguravanje pomoćnika u nastavi za učenike s teškoćama</w:t>
            </w:r>
          </w:p>
          <w:p w:rsidR="006727E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Program obuhvaća naknade plaća pomoćnicima u nastavi djeci s poteškoćama. Uračunati su troškovi ostalih naknada kao što su regres, božićnica, dar za dijete i </w:t>
            </w:r>
            <w:proofErr w:type="spellStart"/>
            <w:r w:rsidRPr="006A7229">
              <w:rPr>
                <w:rFonts w:ascii="Times New Roman" w:hAnsi="Times New Roman"/>
              </w:rPr>
              <w:t>uskrsnica</w:t>
            </w:r>
            <w:proofErr w:type="spellEnd"/>
            <w:r w:rsidRPr="006A7229">
              <w:rPr>
                <w:rFonts w:ascii="Times New Roman" w:hAnsi="Times New Roman"/>
              </w:rPr>
              <w:t>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6727E9" w:rsidRPr="006A7229" w:rsidTr="00DD43BB">
        <w:trPr>
          <w:trHeight w:val="847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21030">
              <w:rPr>
                <w:rFonts w:ascii="Times New Roman" w:hAnsi="Times New Roman"/>
              </w:rPr>
              <w:t>Planirana su sredstva potrebna za osiguranj</w:t>
            </w:r>
            <w:r>
              <w:rPr>
                <w:rFonts w:ascii="Times New Roman" w:hAnsi="Times New Roman"/>
              </w:rPr>
              <w:t>e</w:t>
            </w:r>
            <w:r w:rsidRPr="00221030">
              <w:rPr>
                <w:rFonts w:ascii="Times New Roman" w:hAnsi="Times New Roman"/>
              </w:rPr>
              <w:t xml:space="preserve"> plaće</w:t>
            </w:r>
            <w:r>
              <w:rPr>
                <w:rFonts w:ascii="Times New Roman" w:hAnsi="Times New Roman"/>
              </w:rPr>
              <w:t xml:space="preserve"> i ostalih rashoda za zaposlene za dva </w:t>
            </w:r>
            <w:r w:rsidRPr="00221030">
              <w:rPr>
                <w:rFonts w:ascii="Times New Roman" w:hAnsi="Times New Roman"/>
              </w:rPr>
              <w:t>pomoćnika u nastavi</w:t>
            </w:r>
            <w:r>
              <w:rPr>
                <w:rFonts w:ascii="Times New Roman" w:hAnsi="Times New Roman"/>
              </w:rPr>
              <w:t xml:space="preserve"> za učenike s teškoćama.</w:t>
            </w:r>
          </w:p>
        </w:tc>
      </w:tr>
      <w:tr w:rsidR="006727E9" w:rsidRPr="006A7229" w:rsidTr="00DD43BB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19.850,00</w:t>
            </w:r>
          </w:p>
        </w:tc>
      </w:tr>
      <w:tr w:rsidR="006727E9" w:rsidRPr="006A7229" w:rsidTr="00DD43BB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19.850,00</w:t>
            </w:r>
          </w:p>
        </w:tc>
      </w:tr>
      <w:tr w:rsidR="006727E9" w:rsidRPr="006A7229" w:rsidTr="00DD43BB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19.850,00</w:t>
            </w:r>
          </w:p>
        </w:tc>
      </w:tr>
      <w:tr w:rsidR="006727E9" w:rsidRPr="006A7229" w:rsidTr="006727E9">
        <w:tc>
          <w:tcPr>
            <w:tcW w:w="1985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27E9" w:rsidRPr="006A7229" w:rsidTr="006727E9">
        <w:tc>
          <w:tcPr>
            <w:tcW w:w="1985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osnovnih škola</w:t>
            </w:r>
          </w:p>
        </w:tc>
      </w:tr>
      <w:tr w:rsidR="006727E9" w:rsidRPr="006A7229" w:rsidTr="006727E9">
        <w:trPr>
          <w:trHeight w:val="528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 w:rsidRPr="006A7229">
              <w:rPr>
                <w:rFonts w:ascii="Times New Roman" w:hAnsi="Times New Roman"/>
                <w:bCs/>
              </w:rPr>
              <w:t>Obrazloženje:</w:t>
            </w:r>
          </w:p>
        </w:tc>
        <w:tc>
          <w:tcPr>
            <w:tcW w:w="7371" w:type="dxa"/>
          </w:tcPr>
          <w:p w:rsidR="006727E9" w:rsidRPr="004E05EC" w:rsidRDefault="006727E9" w:rsidP="00DD43BB">
            <w:pPr>
              <w:jc w:val="both"/>
              <w:rPr>
                <w:rFonts w:eastAsia="Times New Roman"/>
                <w:sz w:val="22"/>
              </w:rPr>
            </w:pPr>
            <w:r w:rsidRPr="0079162E">
              <w:rPr>
                <w:rFonts w:eastAsia="Times New Roman"/>
                <w:sz w:val="22"/>
              </w:rPr>
              <w:t xml:space="preserve">Planirana sredstva </w:t>
            </w:r>
            <w:r>
              <w:rPr>
                <w:rFonts w:eastAsia="Times New Roman"/>
                <w:sz w:val="22"/>
              </w:rPr>
              <w:t xml:space="preserve">odnose se na </w:t>
            </w:r>
            <w:r w:rsidRPr="0079162E">
              <w:rPr>
                <w:rFonts w:eastAsia="Times New Roman"/>
                <w:sz w:val="22"/>
              </w:rPr>
              <w:t xml:space="preserve">sredstava od strane </w:t>
            </w:r>
            <w:r>
              <w:rPr>
                <w:rFonts w:eastAsia="Times New Roman"/>
                <w:sz w:val="22"/>
              </w:rPr>
              <w:t>O</w:t>
            </w:r>
            <w:r w:rsidRPr="0079162E">
              <w:rPr>
                <w:rFonts w:eastAsia="Times New Roman"/>
                <w:sz w:val="22"/>
              </w:rPr>
              <w:t xml:space="preserve">snivača potrebna za osiguravanje uvjeta rada za redovno poslovanje </w:t>
            </w:r>
            <w:r>
              <w:rPr>
                <w:rFonts w:eastAsia="Times New Roman"/>
                <w:sz w:val="22"/>
              </w:rPr>
              <w:t>Š</w:t>
            </w:r>
            <w:r w:rsidRPr="0079162E">
              <w:rPr>
                <w:rFonts w:eastAsia="Times New Roman"/>
                <w:sz w:val="22"/>
              </w:rPr>
              <w:t>kole</w:t>
            </w:r>
            <w:r>
              <w:rPr>
                <w:rFonts w:eastAsia="Times New Roman"/>
                <w:sz w:val="22"/>
              </w:rPr>
              <w:t>,</w:t>
            </w:r>
            <w:r w:rsidRPr="0079162E">
              <w:rPr>
                <w:rFonts w:eastAsia="Times New Roman"/>
                <w:sz w:val="22"/>
              </w:rPr>
              <w:t xml:space="preserve"> a prema limitu kojeg određuje </w:t>
            </w:r>
            <w:r>
              <w:rPr>
                <w:rFonts w:eastAsia="Times New Roman"/>
                <w:sz w:val="22"/>
              </w:rPr>
              <w:t>O</w:t>
            </w:r>
            <w:r w:rsidRPr="0079162E">
              <w:rPr>
                <w:rFonts w:eastAsia="Times New Roman"/>
                <w:sz w:val="22"/>
              </w:rPr>
              <w:t>snivač</w:t>
            </w:r>
            <w:r>
              <w:rPr>
                <w:rFonts w:eastAsia="Times New Roman"/>
                <w:sz w:val="22"/>
              </w:rPr>
              <w:t>, sredstva</w:t>
            </w:r>
            <w:r w:rsidRPr="0079162E">
              <w:rPr>
                <w:rFonts w:eastAsia="Times New Roman"/>
                <w:sz w:val="22"/>
              </w:rPr>
              <w:t xml:space="preserve"> ostalih pomoći financiranih od strane </w:t>
            </w:r>
            <w:r>
              <w:rPr>
                <w:rFonts w:eastAsia="Times New Roman"/>
                <w:sz w:val="22"/>
              </w:rPr>
              <w:t xml:space="preserve">Ministarstva znanosti, obrazovanja i mladih </w:t>
            </w:r>
            <w:r w:rsidRPr="0079162E">
              <w:rPr>
                <w:rFonts w:eastAsia="Times New Roman"/>
                <w:sz w:val="22"/>
              </w:rPr>
              <w:t xml:space="preserve">potrebnih za osiguravanje isplate plaća i drugih rashoda za zaposlene </w:t>
            </w:r>
            <w:r>
              <w:rPr>
                <w:rFonts w:eastAsia="Times New Roman"/>
                <w:sz w:val="22"/>
              </w:rPr>
              <w:t>te sredstva Općine Lastovo za sufinanciranje smještaja učitelja.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717.485,00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717.485,00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717.485,00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727E9" w:rsidRPr="006A7229" w:rsidTr="006727E9">
        <w:trPr>
          <w:trHeight w:val="494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45611B">
              <w:rPr>
                <w:rFonts w:ascii="Times New Roman" w:hAnsi="Times New Roman"/>
              </w:rPr>
              <w:t>Planirana</w:t>
            </w:r>
            <w:r>
              <w:rPr>
                <w:rFonts w:ascii="Times New Roman" w:hAnsi="Times New Roman"/>
              </w:rPr>
              <w:t xml:space="preserve"> sredstva odnose se na tekuća i investicijska ulaganja u Školu, a prema limitu kojeg određuje Osnivač.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7.800,00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727E9" w:rsidRPr="006A7229" w:rsidTr="006727E9">
        <w:trPr>
          <w:trHeight w:val="488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45611B">
              <w:rPr>
                <w:rFonts w:ascii="Times New Roman" w:hAnsi="Times New Roman"/>
              </w:rPr>
              <w:t xml:space="preserve">Planirana </w:t>
            </w:r>
            <w:r>
              <w:rPr>
                <w:rFonts w:ascii="Times New Roman" w:hAnsi="Times New Roman"/>
              </w:rPr>
              <w:t>sredstva za kapitalna ulaganja prema limitu kojeg određuje Osnivač.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6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</w:t>
            </w:r>
            <w:r>
              <w:rPr>
                <w:rFonts w:ascii="Times New Roman" w:hAnsi="Times New Roman"/>
              </w:rPr>
              <w:t>7</w:t>
            </w:r>
            <w:r w:rsidRPr="006A7229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16.800,00</w:t>
            </w:r>
          </w:p>
        </w:tc>
      </w:tr>
      <w:tr w:rsidR="006727E9" w:rsidRPr="006A7229" w:rsidTr="006727E9">
        <w:tc>
          <w:tcPr>
            <w:tcW w:w="1985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727E9" w:rsidRPr="006A7229" w:rsidTr="006727E9">
        <w:tc>
          <w:tcPr>
            <w:tcW w:w="1985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6727E9" w:rsidRPr="006A7229" w:rsidRDefault="006727E9" w:rsidP="00DD43B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znanja, športska natjecanja, školske projekte. Također su uključeni i veliki projekti poput financiranja udžbenika i radnih materijala za učenike osnovnih škola kao i produženi boravak u osnovnim školama. Ministarstvo znanosti</w:t>
            </w:r>
            <w:r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predmete.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škola.</w:t>
            </w:r>
          </w:p>
          <w:p w:rsidR="006727E9" w:rsidRPr="006A7229" w:rsidRDefault="006727E9" w:rsidP="00DD43B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također prati proračunske korisnike u ostvarivanju i korištenju vlastitih i namjenskih prihoda i primitaka, rashoda i izdataka.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120801 Financiranje radnih materijala za učenike osnovnih škola</w:t>
            </w:r>
          </w:p>
        </w:tc>
      </w:tr>
      <w:tr w:rsidR="006727E9" w:rsidRPr="006A7229" w:rsidTr="006727E9">
        <w:trPr>
          <w:trHeight w:val="554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E78DF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E78DF">
              <w:rPr>
                <w:rFonts w:ascii="Times New Roman" w:hAnsi="Times New Roman"/>
              </w:rPr>
              <w:t xml:space="preserve">Planirana su </w:t>
            </w:r>
            <w:r>
              <w:rPr>
                <w:rFonts w:ascii="Times New Roman" w:hAnsi="Times New Roman"/>
              </w:rPr>
              <w:t>sredstva za nabavu radnih bilježnica za učenike, a temeljem nabave radnih bilježnica u 2024. godini.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727E9" w:rsidRPr="006A7229" w:rsidTr="006727E9">
        <w:trPr>
          <w:trHeight w:val="442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197837">
              <w:rPr>
                <w:rFonts w:ascii="Times New Roman" w:hAnsi="Times New Roman"/>
              </w:rPr>
              <w:t xml:space="preserve">Financiranje školskih projekata </w:t>
            </w:r>
            <w:r>
              <w:rPr>
                <w:rFonts w:ascii="Times New Roman" w:hAnsi="Times New Roman"/>
              </w:rPr>
              <w:t xml:space="preserve">za 2025. godinu </w:t>
            </w:r>
            <w:r w:rsidRPr="00197837">
              <w:rPr>
                <w:rFonts w:ascii="Times New Roman" w:hAnsi="Times New Roman"/>
              </w:rPr>
              <w:t xml:space="preserve">planirano je prema limitu kojeg određuje </w:t>
            </w:r>
            <w:r>
              <w:rPr>
                <w:rFonts w:ascii="Times New Roman" w:hAnsi="Times New Roman"/>
              </w:rPr>
              <w:t>O</w:t>
            </w:r>
            <w:r w:rsidRPr="00197837">
              <w:rPr>
                <w:rFonts w:ascii="Times New Roman" w:hAnsi="Times New Roman"/>
              </w:rPr>
              <w:t>snivač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727E9" w:rsidRPr="006A7229" w:rsidTr="006727E9">
        <w:trPr>
          <w:trHeight w:val="491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DC72F2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DC72F2">
              <w:rPr>
                <w:rFonts w:ascii="Times New Roman" w:hAnsi="Times New Roman"/>
              </w:rPr>
              <w:t>Planirana su</w:t>
            </w:r>
            <w:r>
              <w:rPr>
                <w:rFonts w:ascii="Times New Roman" w:hAnsi="Times New Roman"/>
              </w:rPr>
              <w:t xml:space="preserve"> sredstva za nabavu udžbenika za učenike, temeljem provedene nabave u 2024. godini, a koju financira Ministarstvo znanosti, obrazovanja i mladih.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727E9" w:rsidRPr="006A7229" w:rsidTr="006727E9">
        <w:trPr>
          <w:trHeight w:val="494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45C9B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45C9B">
              <w:rPr>
                <w:rFonts w:ascii="Times New Roman" w:hAnsi="Times New Roman"/>
              </w:rPr>
              <w:t xml:space="preserve">Planirana su sredstva od tekućih donacija </w:t>
            </w:r>
            <w:r>
              <w:rPr>
                <w:rFonts w:ascii="Times New Roman" w:hAnsi="Times New Roman"/>
              </w:rPr>
              <w:t>koja se koriste sukladno određenoj namjeni za uređenje učeničkih i uredskih prostora Škole.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727E9" w:rsidRPr="006A7229" w:rsidTr="006727E9">
        <w:trPr>
          <w:trHeight w:val="487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7F25E6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7F25E6">
              <w:rPr>
                <w:rFonts w:ascii="Times New Roman" w:hAnsi="Times New Roman"/>
              </w:rPr>
              <w:t xml:space="preserve">Planirana sredstva odnose se na prihode od prodaje proizvoda učeničke zadruge „Moj </w:t>
            </w:r>
            <w:proofErr w:type="spellStart"/>
            <w:r w:rsidRPr="007F25E6">
              <w:rPr>
                <w:rFonts w:ascii="Times New Roman" w:hAnsi="Times New Roman"/>
              </w:rPr>
              <w:t>škoj</w:t>
            </w:r>
            <w:proofErr w:type="spellEnd"/>
            <w:r w:rsidRPr="007F25E6">
              <w:rPr>
                <w:rFonts w:ascii="Times New Roman" w:hAnsi="Times New Roman"/>
              </w:rPr>
              <w:t>“ te rashode za potrebe njenog rada.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727E9" w:rsidRPr="006A7229" w:rsidTr="006727E9">
        <w:trPr>
          <w:trHeight w:val="509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45C9B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45C9B">
              <w:rPr>
                <w:rFonts w:ascii="Times New Roman" w:hAnsi="Times New Roman"/>
              </w:rPr>
              <w:t xml:space="preserve">Planirana su sredstva </w:t>
            </w:r>
            <w:r>
              <w:rPr>
                <w:rFonts w:ascii="Times New Roman" w:hAnsi="Times New Roman"/>
              </w:rPr>
              <w:t>za besplatnu prehranu za sve učenike, a na temelju realizacije iz 2024. godine.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9.888,00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9.888,00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9.888,00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727E9" w:rsidRPr="006A7229" w:rsidTr="006727E9">
        <w:trPr>
          <w:trHeight w:val="521"/>
        </w:trPr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Obrazloženje:</w:t>
            </w:r>
          </w:p>
        </w:tc>
        <w:tc>
          <w:tcPr>
            <w:tcW w:w="7371" w:type="dxa"/>
          </w:tcPr>
          <w:p w:rsidR="006727E9" w:rsidRPr="00645C9B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45C9B">
              <w:rPr>
                <w:rFonts w:ascii="Times New Roman" w:hAnsi="Times New Roman"/>
              </w:rPr>
              <w:t xml:space="preserve">Planirana su </w:t>
            </w:r>
            <w:r>
              <w:rPr>
                <w:rFonts w:ascii="Times New Roman" w:hAnsi="Times New Roman"/>
              </w:rPr>
              <w:t>sredstva za nabavu higijenskih potrepština za učenice, a na temelju nabave iz 2024. godine.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Proračun 2025.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2026.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77,00</w:t>
            </w:r>
          </w:p>
        </w:tc>
      </w:tr>
      <w:tr w:rsidR="006727E9" w:rsidRPr="006A7229" w:rsidTr="006727E9">
        <w:tc>
          <w:tcPr>
            <w:tcW w:w="1985" w:type="dxa"/>
            <w:vAlign w:val="center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Projekcija 2027.</w:t>
            </w:r>
          </w:p>
        </w:tc>
        <w:tc>
          <w:tcPr>
            <w:tcW w:w="7371" w:type="dxa"/>
          </w:tcPr>
          <w:p w:rsidR="006727E9" w:rsidRPr="006A7229" w:rsidRDefault="006727E9" w:rsidP="00DD43B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77,00</w:t>
            </w:r>
          </w:p>
        </w:tc>
      </w:tr>
    </w:tbl>
    <w:p w:rsidR="006727E9" w:rsidRDefault="006727E9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AF0347" w:rsidRDefault="00AF0347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F0347">
        <w:rPr>
          <w:rFonts w:ascii="Times New Roman" w:hAnsi="Times New Roman"/>
          <w:sz w:val="24"/>
          <w:szCs w:val="24"/>
        </w:rPr>
        <w:t>Lastovo,</w:t>
      </w:r>
      <w:r>
        <w:rPr>
          <w:rFonts w:ascii="Times New Roman" w:hAnsi="Times New Roman"/>
          <w:sz w:val="24"/>
          <w:szCs w:val="24"/>
        </w:rPr>
        <w:t xml:space="preserve"> </w:t>
      </w:r>
      <w:r w:rsidR="00AF0D0F">
        <w:rPr>
          <w:rFonts w:ascii="Times New Roman" w:hAnsi="Times New Roman"/>
          <w:sz w:val="24"/>
          <w:szCs w:val="24"/>
        </w:rPr>
        <w:t>30. listopada</w:t>
      </w:r>
      <w:r w:rsidR="00CA283F">
        <w:rPr>
          <w:rFonts w:ascii="Times New Roman" w:hAnsi="Times New Roman"/>
          <w:sz w:val="24"/>
          <w:szCs w:val="24"/>
        </w:rPr>
        <w:t xml:space="preserve"> </w:t>
      </w:r>
      <w:r w:rsidR="00DF619F">
        <w:rPr>
          <w:rFonts w:ascii="Times New Roman" w:hAnsi="Times New Roman"/>
          <w:sz w:val="24"/>
          <w:szCs w:val="24"/>
        </w:rPr>
        <w:t>2024. godine</w:t>
      </w:r>
    </w:p>
    <w:p w:rsidR="004765F4" w:rsidRPr="00AF0347" w:rsidRDefault="004765F4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F0347" w:rsidRDefault="00AF0347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4853D8" w:rsidRDefault="00585555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85555">
        <w:rPr>
          <w:rFonts w:ascii="Times New Roman" w:hAnsi="Times New Roman"/>
          <w:sz w:val="24"/>
          <w:szCs w:val="24"/>
        </w:rPr>
        <w:t>Voditeljica računovodstva u školi I</w:t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  <w:t>Ravnateljica</w:t>
      </w:r>
    </w:p>
    <w:p w:rsid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853D8" w:rsidRP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Marinela Katić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Vedrana </w:t>
      </w:r>
      <w:proofErr w:type="spellStart"/>
      <w:r>
        <w:rPr>
          <w:rFonts w:ascii="Times New Roman" w:hAnsi="Times New Roman"/>
          <w:sz w:val="24"/>
          <w:szCs w:val="24"/>
        </w:rPr>
        <w:t>Ortika</w:t>
      </w:r>
      <w:proofErr w:type="spellEnd"/>
      <w:r>
        <w:rPr>
          <w:rFonts w:ascii="Times New Roman" w:hAnsi="Times New Roman"/>
          <w:sz w:val="24"/>
          <w:szCs w:val="24"/>
        </w:rPr>
        <w:t xml:space="preserve"> Medini</w:t>
      </w: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sectPr w:rsidR="00DA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1E" w:rsidRDefault="00C5361E" w:rsidP="00BD5B5D">
      <w:r>
        <w:separator/>
      </w:r>
    </w:p>
  </w:endnote>
  <w:endnote w:type="continuationSeparator" w:id="0">
    <w:p w:rsidR="00C5361E" w:rsidRDefault="00C5361E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1E" w:rsidRDefault="00C5361E" w:rsidP="00BD5B5D">
      <w:r>
        <w:separator/>
      </w:r>
    </w:p>
  </w:footnote>
  <w:footnote w:type="continuationSeparator" w:id="0">
    <w:p w:rsidR="00C5361E" w:rsidRDefault="00C5361E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1ABA"/>
    <w:multiLevelType w:val="hybridMultilevel"/>
    <w:tmpl w:val="B5D42F28"/>
    <w:lvl w:ilvl="0" w:tplc="9752B8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E305A"/>
    <w:multiLevelType w:val="hybridMultilevel"/>
    <w:tmpl w:val="9B56E11E"/>
    <w:lvl w:ilvl="0" w:tplc="49689C8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1462"/>
    <w:multiLevelType w:val="multilevel"/>
    <w:tmpl w:val="0D98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2" w:hanging="540"/>
      </w:p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3" w15:restartNumberingAfterBreak="0">
    <w:nsid w:val="41A054B0"/>
    <w:multiLevelType w:val="multilevel"/>
    <w:tmpl w:val="740A1FC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2" w:hanging="54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776" w:hanging="72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2840" w:hanging="108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3904" w:hanging="144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4" w15:restartNumberingAfterBreak="0">
    <w:nsid w:val="52DD1F8F"/>
    <w:multiLevelType w:val="multilevel"/>
    <w:tmpl w:val="16BA4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2" w:hanging="540"/>
      </w:p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5" w15:restartNumberingAfterBreak="0">
    <w:nsid w:val="56CB6BBE"/>
    <w:multiLevelType w:val="hybridMultilevel"/>
    <w:tmpl w:val="6130EB3E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A8736EF"/>
    <w:multiLevelType w:val="multilevel"/>
    <w:tmpl w:val="35A2D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7" w15:restartNumberingAfterBreak="0">
    <w:nsid w:val="631742D1"/>
    <w:multiLevelType w:val="hybridMultilevel"/>
    <w:tmpl w:val="5A3C45E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9689C88">
      <w:start w:val="15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49689C88">
      <w:start w:val="15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4B54ED4"/>
    <w:multiLevelType w:val="hybridMultilevel"/>
    <w:tmpl w:val="40CAFA32"/>
    <w:lvl w:ilvl="0" w:tplc="A4B06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55BC"/>
    <w:multiLevelType w:val="hybridMultilevel"/>
    <w:tmpl w:val="BDA26D3E"/>
    <w:lvl w:ilvl="0" w:tplc="094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4BD2"/>
    <w:rsid w:val="00012CB0"/>
    <w:rsid w:val="00042291"/>
    <w:rsid w:val="00047FCA"/>
    <w:rsid w:val="00056AC4"/>
    <w:rsid w:val="00076C3C"/>
    <w:rsid w:val="000A70B7"/>
    <w:rsid w:val="000B3E5F"/>
    <w:rsid w:val="000E4FEF"/>
    <w:rsid w:val="000F6BB3"/>
    <w:rsid w:val="00100C50"/>
    <w:rsid w:val="0010261E"/>
    <w:rsid w:val="0011710E"/>
    <w:rsid w:val="00120E59"/>
    <w:rsid w:val="001541D9"/>
    <w:rsid w:val="001758B3"/>
    <w:rsid w:val="001803B7"/>
    <w:rsid w:val="001A0125"/>
    <w:rsid w:val="001A1DBE"/>
    <w:rsid w:val="001B018A"/>
    <w:rsid w:val="001D1205"/>
    <w:rsid w:val="00206869"/>
    <w:rsid w:val="00210D49"/>
    <w:rsid w:val="002163DA"/>
    <w:rsid w:val="00226BEA"/>
    <w:rsid w:val="0023291F"/>
    <w:rsid w:val="002409E0"/>
    <w:rsid w:val="00243B6B"/>
    <w:rsid w:val="00247077"/>
    <w:rsid w:val="002817FE"/>
    <w:rsid w:val="002A3336"/>
    <w:rsid w:val="002C7B9D"/>
    <w:rsid w:val="002E572C"/>
    <w:rsid w:val="002F6346"/>
    <w:rsid w:val="00356661"/>
    <w:rsid w:val="00363AF1"/>
    <w:rsid w:val="00365A62"/>
    <w:rsid w:val="00384FD1"/>
    <w:rsid w:val="00393E95"/>
    <w:rsid w:val="003A5F8D"/>
    <w:rsid w:val="003C75C6"/>
    <w:rsid w:val="003D2F90"/>
    <w:rsid w:val="003D6C7E"/>
    <w:rsid w:val="003E5583"/>
    <w:rsid w:val="003E67E2"/>
    <w:rsid w:val="003F0482"/>
    <w:rsid w:val="003F3223"/>
    <w:rsid w:val="00406D06"/>
    <w:rsid w:val="00410599"/>
    <w:rsid w:val="00414B2C"/>
    <w:rsid w:val="00433B27"/>
    <w:rsid w:val="004471C6"/>
    <w:rsid w:val="00451334"/>
    <w:rsid w:val="004765F4"/>
    <w:rsid w:val="00477A89"/>
    <w:rsid w:val="004853D8"/>
    <w:rsid w:val="004A2678"/>
    <w:rsid w:val="004B0CDA"/>
    <w:rsid w:val="004B3656"/>
    <w:rsid w:val="004C3390"/>
    <w:rsid w:val="004D5A3E"/>
    <w:rsid w:val="004E3D9D"/>
    <w:rsid w:val="004F4E21"/>
    <w:rsid w:val="004F5DB1"/>
    <w:rsid w:val="004F6855"/>
    <w:rsid w:val="00513F4C"/>
    <w:rsid w:val="0055383B"/>
    <w:rsid w:val="00585555"/>
    <w:rsid w:val="00592CC8"/>
    <w:rsid w:val="005A022C"/>
    <w:rsid w:val="005A1722"/>
    <w:rsid w:val="005C62E7"/>
    <w:rsid w:val="005D0271"/>
    <w:rsid w:val="005D3270"/>
    <w:rsid w:val="005E13CC"/>
    <w:rsid w:val="0063422F"/>
    <w:rsid w:val="00645D45"/>
    <w:rsid w:val="00655A8F"/>
    <w:rsid w:val="00661205"/>
    <w:rsid w:val="00663911"/>
    <w:rsid w:val="006727E9"/>
    <w:rsid w:val="006A3856"/>
    <w:rsid w:val="006C698D"/>
    <w:rsid w:val="006F1186"/>
    <w:rsid w:val="006F2A31"/>
    <w:rsid w:val="00703F49"/>
    <w:rsid w:val="00715250"/>
    <w:rsid w:val="00746FFC"/>
    <w:rsid w:val="00780F31"/>
    <w:rsid w:val="007A1952"/>
    <w:rsid w:val="007A7050"/>
    <w:rsid w:val="007C1090"/>
    <w:rsid w:val="007C1BAB"/>
    <w:rsid w:val="007E1ABC"/>
    <w:rsid w:val="007E3D19"/>
    <w:rsid w:val="007E68A1"/>
    <w:rsid w:val="007F4477"/>
    <w:rsid w:val="00802F75"/>
    <w:rsid w:val="00825AF0"/>
    <w:rsid w:val="00867596"/>
    <w:rsid w:val="00875D94"/>
    <w:rsid w:val="008A4C76"/>
    <w:rsid w:val="008B074E"/>
    <w:rsid w:val="008B4C5A"/>
    <w:rsid w:val="008B65E5"/>
    <w:rsid w:val="008C3B97"/>
    <w:rsid w:val="008C4709"/>
    <w:rsid w:val="008C7E18"/>
    <w:rsid w:val="008D0523"/>
    <w:rsid w:val="008F24F4"/>
    <w:rsid w:val="0094491F"/>
    <w:rsid w:val="009571A3"/>
    <w:rsid w:val="00962E92"/>
    <w:rsid w:val="00976275"/>
    <w:rsid w:val="00981859"/>
    <w:rsid w:val="00985535"/>
    <w:rsid w:val="00996195"/>
    <w:rsid w:val="009A1624"/>
    <w:rsid w:val="009D538B"/>
    <w:rsid w:val="009E52B5"/>
    <w:rsid w:val="00A0328A"/>
    <w:rsid w:val="00A21904"/>
    <w:rsid w:val="00A30E9D"/>
    <w:rsid w:val="00A34EBE"/>
    <w:rsid w:val="00A405D8"/>
    <w:rsid w:val="00A6328A"/>
    <w:rsid w:val="00A762FA"/>
    <w:rsid w:val="00A80091"/>
    <w:rsid w:val="00A829D4"/>
    <w:rsid w:val="00A837BF"/>
    <w:rsid w:val="00A90932"/>
    <w:rsid w:val="00A943FC"/>
    <w:rsid w:val="00A960A3"/>
    <w:rsid w:val="00AA3096"/>
    <w:rsid w:val="00AB15E7"/>
    <w:rsid w:val="00AB6769"/>
    <w:rsid w:val="00AC23AF"/>
    <w:rsid w:val="00AE12ED"/>
    <w:rsid w:val="00AE1A1F"/>
    <w:rsid w:val="00AF0347"/>
    <w:rsid w:val="00AF0D0F"/>
    <w:rsid w:val="00B25CCD"/>
    <w:rsid w:val="00B32693"/>
    <w:rsid w:val="00B343C0"/>
    <w:rsid w:val="00B415DC"/>
    <w:rsid w:val="00B465BA"/>
    <w:rsid w:val="00B605FA"/>
    <w:rsid w:val="00B7466D"/>
    <w:rsid w:val="00B762E6"/>
    <w:rsid w:val="00B87535"/>
    <w:rsid w:val="00B958F2"/>
    <w:rsid w:val="00BA2A20"/>
    <w:rsid w:val="00BB13BF"/>
    <w:rsid w:val="00BB6D0A"/>
    <w:rsid w:val="00BC48F0"/>
    <w:rsid w:val="00BD5B5D"/>
    <w:rsid w:val="00BF2CC6"/>
    <w:rsid w:val="00BF59FE"/>
    <w:rsid w:val="00C1482E"/>
    <w:rsid w:val="00C20523"/>
    <w:rsid w:val="00C23D8A"/>
    <w:rsid w:val="00C2731F"/>
    <w:rsid w:val="00C5361E"/>
    <w:rsid w:val="00C6293E"/>
    <w:rsid w:val="00C739FB"/>
    <w:rsid w:val="00C81892"/>
    <w:rsid w:val="00CA283F"/>
    <w:rsid w:val="00CB0EDF"/>
    <w:rsid w:val="00CB75E5"/>
    <w:rsid w:val="00CD1285"/>
    <w:rsid w:val="00CD1DCA"/>
    <w:rsid w:val="00D02599"/>
    <w:rsid w:val="00D2494F"/>
    <w:rsid w:val="00D45A5E"/>
    <w:rsid w:val="00D7079B"/>
    <w:rsid w:val="00D835B3"/>
    <w:rsid w:val="00D94D70"/>
    <w:rsid w:val="00DA0C2B"/>
    <w:rsid w:val="00DA64CC"/>
    <w:rsid w:val="00DC3490"/>
    <w:rsid w:val="00DF1A27"/>
    <w:rsid w:val="00DF619F"/>
    <w:rsid w:val="00E029FF"/>
    <w:rsid w:val="00E0441C"/>
    <w:rsid w:val="00E32490"/>
    <w:rsid w:val="00E33FC0"/>
    <w:rsid w:val="00E400EE"/>
    <w:rsid w:val="00E418BC"/>
    <w:rsid w:val="00E50009"/>
    <w:rsid w:val="00E60760"/>
    <w:rsid w:val="00E77041"/>
    <w:rsid w:val="00E87E64"/>
    <w:rsid w:val="00EA4750"/>
    <w:rsid w:val="00EB13BE"/>
    <w:rsid w:val="00EE78B3"/>
    <w:rsid w:val="00EF7202"/>
    <w:rsid w:val="00F22E38"/>
    <w:rsid w:val="00F24FAF"/>
    <w:rsid w:val="00F33C32"/>
    <w:rsid w:val="00F54D2D"/>
    <w:rsid w:val="00F82E0C"/>
    <w:rsid w:val="00F90E8E"/>
    <w:rsid w:val="00FB36AA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E0F4"/>
  <w15:docId w15:val="{06AC09C7-6DC4-4AF4-8C20-ABD81A0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1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125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0B7B-7C75-495B-AB39-A1758E3D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Windows korisnik</cp:lastModifiedBy>
  <cp:revision>52</cp:revision>
  <cp:lastPrinted>2024-12-12T11:07:00Z</cp:lastPrinted>
  <dcterms:created xsi:type="dcterms:W3CDTF">2024-06-26T09:05:00Z</dcterms:created>
  <dcterms:modified xsi:type="dcterms:W3CDTF">2024-12-12T11:16:00Z</dcterms:modified>
</cp:coreProperties>
</file>