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92" w:rsidRPr="008B65E5" w:rsidRDefault="008B65E5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OSNOVNA ŠKOLA „BRAĆA GLUMAC“</w:t>
      </w:r>
    </w:p>
    <w:p w:rsidR="008B65E5" w:rsidRDefault="00715250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Dolac 11 </w:t>
      </w:r>
    </w:p>
    <w:p w:rsidR="00433B27" w:rsidRPr="008B65E5" w:rsidRDefault="00715250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>20290 Lastovo</w:t>
      </w:r>
    </w:p>
    <w:p w:rsidR="00E87E64" w:rsidRPr="008B65E5" w:rsidRDefault="00433B27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Broj RKP: </w:t>
      </w:r>
      <w:r w:rsidR="00393E95" w:rsidRPr="008B65E5">
        <w:rPr>
          <w:rFonts w:ascii="Times New Roman" w:hAnsi="Times New Roman"/>
          <w:b/>
          <w:sz w:val="24"/>
          <w:szCs w:val="24"/>
        </w:rPr>
        <w:t>12296</w:t>
      </w:r>
    </w:p>
    <w:p w:rsidR="00715250" w:rsidRPr="008B65E5" w:rsidRDefault="00433B27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Matični broj škole: </w:t>
      </w:r>
      <w:r w:rsidR="00715250" w:rsidRPr="008B65E5">
        <w:rPr>
          <w:rFonts w:ascii="Times New Roman" w:hAnsi="Times New Roman"/>
          <w:b/>
          <w:sz w:val="24"/>
          <w:szCs w:val="24"/>
        </w:rPr>
        <w:t>03324117</w:t>
      </w:r>
    </w:p>
    <w:p w:rsidR="00433B27" w:rsidRPr="008B65E5" w:rsidRDefault="00433B27" w:rsidP="00962E92">
      <w:pPr>
        <w:pStyle w:val="Bezproreda"/>
        <w:pBdr>
          <w:bottom w:val="single" w:sz="12" w:space="1" w:color="auto"/>
        </w:pBd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OIB škole: </w:t>
      </w:r>
      <w:r w:rsidR="00715250" w:rsidRPr="008B65E5">
        <w:rPr>
          <w:rFonts w:ascii="Times New Roman" w:hAnsi="Times New Roman"/>
          <w:b/>
          <w:sz w:val="24"/>
          <w:szCs w:val="24"/>
        </w:rPr>
        <w:t>80382692021</w:t>
      </w:r>
    </w:p>
    <w:p w:rsidR="008B65E5" w:rsidRPr="008B65E5" w:rsidRDefault="008B65E5" w:rsidP="00962E92">
      <w:pPr>
        <w:pStyle w:val="Bezproreda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8B65E5" w:rsidRPr="008B65E5" w:rsidRDefault="00A405D8" w:rsidP="00E87E64">
      <w:pPr>
        <w:pStyle w:val="Bezprored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B65E5">
        <w:rPr>
          <w:rFonts w:ascii="Times New Roman" w:hAnsi="Times New Roman"/>
          <w:b/>
          <w:sz w:val="28"/>
          <w:szCs w:val="28"/>
        </w:rPr>
        <w:t>OBRAZLO</w:t>
      </w:r>
      <w:r w:rsidR="00E87E64" w:rsidRPr="008B65E5">
        <w:rPr>
          <w:rFonts w:ascii="Times New Roman" w:hAnsi="Times New Roman"/>
          <w:b/>
          <w:sz w:val="28"/>
          <w:szCs w:val="28"/>
        </w:rPr>
        <w:t xml:space="preserve">ŽENJE </w:t>
      </w:r>
    </w:p>
    <w:p w:rsidR="00A405D8" w:rsidRPr="008B65E5" w:rsidRDefault="008B65E5" w:rsidP="008B65E5">
      <w:pPr>
        <w:pStyle w:val="Bezproreda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B65E5">
        <w:rPr>
          <w:rFonts w:ascii="Times New Roman" w:hAnsi="Times New Roman"/>
          <w:b/>
          <w:sz w:val="28"/>
          <w:szCs w:val="28"/>
        </w:rPr>
        <w:t>I</w:t>
      </w:r>
      <w:r w:rsidR="0049059B">
        <w:rPr>
          <w:rFonts w:ascii="Times New Roman" w:hAnsi="Times New Roman"/>
          <w:b/>
          <w:sz w:val="28"/>
          <w:szCs w:val="28"/>
        </w:rPr>
        <w:t>I.</w:t>
      </w:r>
      <w:r w:rsidRPr="008B65E5">
        <w:rPr>
          <w:rFonts w:ascii="Times New Roman" w:hAnsi="Times New Roman"/>
          <w:b/>
          <w:sz w:val="28"/>
          <w:szCs w:val="28"/>
        </w:rPr>
        <w:t xml:space="preserve"> IZMJENA I DOPUNA </w:t>
      </w:r>
      <w:r w:rsidR="00E87E64" w:rsidRPr="008B65E5">
        <w:rPr>
          <w:rFonts w:ascii="Times New Roman" w:hAnsi="Times New Roman"/>
          <w:b/>
          <w:sz w:val="28"/>
          <w:szCs w:val="28"/>
        </w:rPr>
        <w:t>FINANCIJSKOG PLANA ZA 2024</w:t>
      </w:r>
      <w:r w:rsidR="00477A89" w:rsidRPr="008B65E5">
        <w:rPr>
          <w:rFonts w:ascii="Times New Roman" w:hAnsi="Times New Roman"/>
          <w:b/>
          <w:sz w:val="28"/>
          <w:szCs w:val="28"/>
        </w:rPr>
        <w:t>. GODINU</w:t>
      </w:r>
    </w:p>
    <w:p w:rsidR="00A405D8" w:rsidRPr="008B65E5" w:rsidRDefault="00A405D8" w:rsidP="00A405D8">
      <w:pPr>
        <w:pStyle w:val="Bezproreda"/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DF1A27" w:rsidRDefault="00DF1A27" w:rsidP="008B65E5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8B65E5" w:rsidRPr="008B65E5" w:rsidRDefault="008B65E5" w:rsidP="00DF1A27">
      <w:pPr>
        <w:pStyle w:val="Bezproreda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8B65E5">
        <w:rPr>
          <w:rFonts w:ascii="Times New Roman" w:hAnsi="Times New Roman"/>
          <w:b/>
          <w:sz w:val="24"/>
          <w:szCs w:val="24"/>
        </w:rPr>
        <w:t xml:space="preserve">UVOD </w:t>
      </w:r>
    </w:p>
    <w:p w:rsidR="008B65E5" w:rsidRPr="008B65E5" w:rsidRDefault="008B65E5" w:rsidP="008B65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65E5" w:rsidRDefault="008B65E5" w:rsidP="008B65E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Odredbama članka 38.</w:t>
      </w:r>
      <w:r w:rsidR="0049059B">
        <w:rPr>
          <w:rFonts w:ascii="Times New Roman" w:hAnsi="Times New Roman"/>
          <w:sz w:val="24"/>
          <w:szCs w:val="24"/>
        </w:rPr>
        <w:t xml:space="preserve"> </w:t>
      </w:r>
      <w:r w:rsidRPr="008B65E5">
        <w:rPr>
          <w:rFonts w:ascii="Times New Roman" w:hAnsi="Times New Roman"/>
          <w:sz w:val="24"/>
          <w:szCs w:val="24"/>
        </w:rPr>
        <w:t xml:space="preserve">Zakona o proračunu </w:t>
      </w:r>
      <w:r>
        <w:rPr>
          <w:rFonts w:ascii="Times New Roman" w:hAnsi="Times New Roman"/>
          <w:sz w:val="24"/>
          <w:szCs w:val="24"/>
        </w:rPr>
        <w:t xml:space="preserve">(„Narodne novine“, </w:t>
      </w:r>
      <w:r w:rsidRPr="008B65E5">
        <w:rPr>
          <w:rFonts w:ascii="Times New Roman" w:hAnsi="Times New Roman"/>
          <w:sz w:val="24"/>
          <w:szCs w:val="24"/>
        </w:rPr>
        <w:t>144/21</w:t>
      </w:r>
      <w:r>
        <w:rPr>
          <w:rFonts w:ascii="Times New Roman" w:hAnsi="Times New Roman"/>
          <w:sz w:val="24"/>
          <w:szCs w:val="24"/>
        </w:rPr>
        <w:t>.</w:t>
      </w:r>
      <w:r w:rsidRPr="008B65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5E5">
        <w:rPr>
          <w:rFonts w:ascii="Times New Roman" w:hAnsi="Times New Roman"/>
          <w:sz w:val="24"/>
          <w:szCs w:val="24"/>
        </w:rPr>
        <w:t>financijski plan proračunskog korisnika za 2024. godinu, kao i izmjene i dopune financijskog plana predlažu se  i usvajaju na razini skupine ekonomske klasifikacije (druga razina računskog plana).</w:t>
      </w:r>
      <w:r w:rsidRPr="008B65E5">
        <w:rPr>
          <w:rFonts w:ascii="Times New Roman" w:hAnsi="Times New Roman"/>
          <w:sz w:val="24"/>
          <w:szCs w:val="24"/>
        </w:rPr>
        <w:tab/>
      </w:r>
    </w:p>
    <w:p w:rsidR="008B65E5" w:rsidRPr="008B65E5" w:rsidRDefault="008B65E5" w:rsidP="008B65E5">
      <w:pPr>
        <w:pStyle w:val="Bezproreda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 xml:space="preserve">Člankom 34., 35. i 36. Zakona o proračunu propisano je da se financijski plan, </w:t>
      </w:r>
      <w:r>
        <w:rPr>
          <w:rFonts w:ascii="Times New Roman" w:hAnsi="Times New Roman"/>
          <w:sz w:val="24"/>
          <w:szCs w:val="24"/>
        </w:rPr>
        <w:t>kao</w:t>
      </w:r>
      <w:r w:rsidRPr="008B65E5">
        <w:rPr>
          <w:rFonts w:ascii="Times New Roman" w:hAnsi="Times New Roman"/>
          <w:sz w:val="24"/>
          <w:szCs w:val="24"/>
        </w:rPr>
        <w:t xml:space="preserve"> i izmjene i dopune financijskog plana</w:t>
      </w:r>
      <w:r>
        <w:rPr>
          <w:rFonts w:ascii="Times New Roman" w:hAnsi="Times New Roman"/>
          <w:sz w:val="24"/>
          <w:szCs w:val="24"/>
        </w:rPr>
        <w:t>,</w:t>
      </w:r>
      <w:r w:rsidRPr="008B65E5">
        <w:rPr>
          <w:rFonts w:ascii="Times New Roman" w:hAnsi="Times New Roman"/>
          <w:sz w:val="24"/>
          <w:szCs w:val="24"/>
        </w:rPr>
        <w:t xml:space="preserve"> sastoje od:</w:t>
      </w:r>
    </w:p>
    <w:p w:rsidR="008B65E5" w:rsidRPr="008B65E5" w:rsidRDefault="008B65E5" w:rsidP="008B65E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Općeg dijela financijskog plana koji sadrži:</w:t>
      </w:r>
    </w:p>
    <w:p w:rsidR="008B65E5" w:rsidRPr="008B65E5" w:rsidRDefault="008B65E5" w:rsidP="008B65E5">
      <w:pPr>
        <w:pStyle w:val="Bezprored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Sažetak Računa prihoda i rashoda i Računa financiranja</w:t>
      </w:r>
      <w:r>
        <w:rPr>
          <w:rFonts w:ascii="Times New Roman" w:hAnsi="Times New Roman"/>
          <w:sz w:val="24"/>
          <w:szCs w:val="24"/>
        </w:rPr>
        <w:t>,</w:t>
      </w:r>
    </w:p>
    <w:p w:rsidR="008B65E5" w:rsidRPr="008B65E5" w:rsidRDefault="008B65E5" w:rsidP="008B65E5">
      <w:pPr>
        <w:pStyle w:val="Bezprored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Račun prihoda i rashoda i Račun financiranja koji se sastoji od prihoda i rashoda iskazanih prema ekonomskoj klasifikaciji i izvorima financiranja i rashoda iskazanih po funkcijskoj klasifikaciji</w:t>
      </w:r>
      <w:r>
        <w:rPr>
          <w:rFonts w:ascii="Times New Roman" w:hAnsi="Times New Roman"/>
          <w:sz w:val="24"/>
          <w:szCs w:val="24"/>
        </w:rPr>
        <w:t>;</w:t>
      </w:r>
    </w:p>
    <w:p w:rsidR="008B65E5" w:rsidRPr="008B65E5" w:rsidRDefault="008B65E5" w:rsidP="008B65E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Posebnog dijela financijskog plana koji se sastoji od rashoda i izdataka iskazanih po izvorima financiranja i ekonomskoj klasifikaciji, raspoređenih u programe koji se sastoje od aktivnosti i projekata.</w:t>
      </w:r>
    </w:p>
    <w:p w:rsidR="008B65E5" w:rsidRPr="008B65E5" w:rsidRDefault="008B65E5" w:rsidP="008B65E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Obrazloženja financijskog plana koji sačinjavaju:</w:t>
      </w:r>
    </w:p>
    <w:p w:rsidR="008B65E5" w:rsidRPr="008B65E5" w:rsidRDefault="008B65E5" w:rsidP="008B65E5">
      <w:pPr>
        <w:pStyle w:val="Bezprored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Obrazloženje općeg dijela financijskog plana:</w:t>
      </w:r>
    </w:p>
    <w:p w:rsidR="008B65E5" w:rsidRPr="008B65E5" w:rsidRDefault="008B65E5" w:rsidP="008B65E5">
      <w:pPr>
        <w:pStyle w:val="Bezproreda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Obrazloženje prihoda i rashoda, primitaka i izdataka</w:t>
      </w:r>
      <w:r>
        <w:rPr>
          <w:rFonts w:ascii="Times New Roman" w:hAnsi="Times New Roman"/>
          <w:sz w:val="24"/>
          <w:szCs w:val="24"/>
        </w:rPr>
        <w:t>,</w:t>
      </w:r>
    </w:p>
    <w:p w:rsidR="008B65E5" w:rsidRPr="008B65E5" w:rsidRDefault="008B65E5" w:rsidP="008B65E5">
      <w:pPr>
        <w:pStyle w:val="Bezproreda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65E5">
        <w:rPr>
          <w:rFonts w:ascii="Times New Roman" w:hAnsi="Times New Roman"/>
          <w:sz w:val="24"/>
          <w:szCs w:val="24"/>
        </w:rPr>
        <w:t>Obrazloženje prenesenog viška odnosno manjka financijskog plana</w:t>
      </w:r>
      <w:r>
        <w:rPr>
          <w:rFonts w:ascii="Times New Roman" w:hAnsi="Times New Roman"/>
          <w:sz w:val="24"/>
          <w:szCs w:val="24"/>
        </w:rPr>
        <w:t>;</w:t>
      </w:r>
    </w:p>
    <w:p w:rsidR="00F90E8E" w:rsidRPr="004853D8" w:rsidRDefault="008B65E5" w:rsidP="00AC4A1F">
      <w:pPr>
        <w:pStyle w:val="Bezproreda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853D8">
        <w:rPr>
          <w:rFonts w:ascii="Times New Roman" w:hAnsi="Times New Roman"/>
          <w:sz w:val="24"/>
          <w:szCs w:val="24"/>
        </w:rPr>
        <w:t>Obrazloženje posebnog dijela financijskog plana koje se sastoji od obrazloženja aktivnosti i projekata</w:t>
      </w:r>
      <w:r w:rsidR="004853D8">
        <w:rPr>
          <w:rFonts w:ascii="Times New Roman" w:hAnsi="Times New Roman"/>
          <w:sz w:val="24"/>
          <w:szCs w:val="24"/>
        </w:rPr>
        <w:t>.</w:t>
      </w:r>
    </w:p>
    <w:p w:rsidR="008B65E5" w:rsidRPr="008B65E5" w:rsidRDefault="008B65E5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F90E8E" w:rsidRDefault="00363AF1" w:rsidP="00DF1A27">
      <w:pPr>
        <w:pStyle w:val="Bezproreda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363AF1">
        <w:rPr>
          <w:rFonts w:ascii="Times New Roman" w:hAnsi="Times New Roman"/>
          <w:b/>
          <w:sz w:val="24"/>
          <w:szCs w:val="24"/>
        </w:rPr>
        <w:t xml:space="preserve">OBRAZLOŽENJE OPĆEG DIJELA </w:t>
      </w:r>
      <w:r>
        <w:rPr>
          <w:rFonts w:ascii="Times New Roman" w:hAnsi="Times New Roman"/>
          <w:b/>
          <w:sz w:val="24"/>
          <w:szCs w:val="24"/>
        </w:rPr>
        <w:t>I</w:t>
      </w:r>
      <w:r w:rsidR="00AD4920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IZMJENA I DOPUNA FINANCIJSKOG PLANA</w:t>
      </w:r>
    </w:p>
    <w:p w:rsidR="00363AF1" w:rsidRDefault="00363AF1" w:rsidP="00477A89">
      <w:pPr>
        <w:pStyle w:val="Bezproreda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3F0482" w:rsidRDefault="00AD4920" w:rsidP="003F0482">
      <w:pPr>
        <w:pStyle w:val="Bezproreda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AD4920">
        <w:rPr>
          <w:rFonts w:ascii="Times New Roman" w:hAnsi="Times New Roman"/>
          <w:sz w:val="24"/>
          <w:szCs w:val="24"/>
        </w:rPr>
        <w:t>Temeljem ostvarenja prihoda i izvršenja rashoda  u razdoblju siječanj</w:t>
      </w:r>
      <w:r>
        <w:rPr>
          <w:rFonts w:ascii="Times New Roman" w:hAnsi="Times New Roman"/>
          <w:sz w:val="24"/>
          <w:szCs w:val="24"/>
        </w:rPr>
        <w:t xml:space="preserve"> – listopad 2024.</w:t>
      </w:r>
      <w:r w:rsidRPr="00AD4920">
        <w:rPr>
          <w:rFonts w:ascii="Times New Roman" w:hAnsi="Times New Roman"/>
          <w:sz w:val="24"/>
          <w:szCs w:val="24"/>
        </w:rPr>
        <w:t xml:space="preserve"> godine te procjene mogućeg ostvarenja prihoda, odnosno izvršenja rashoda do kraja godine, napravljena je nova procjena financijskog plana za 202</w:t>
      </w:r>
      <w:r>
        <w:rPr>
          <w:rFonts w:ascii="Times New Roman" w:hAnsi="Times New Roman"/>
          <w:sz w:val="24"/>
          <w:szCs w:val="24"/>
        </w:rPr>
        <w:t>4</w:t>
      </w:r>
      <w:r w:rsidRPr="00AD4920">
        <w:rPr>
          <w:rFonts w:ascii="Times New Roman" w:hAnsi="Times New Roman"/>
          <w:sz w:val="24"/>
          <w:szCs w:val="24"/>
        </w:rPr>
        <w:t>. godinu.</w:t>
      </w:r>
    </w:p>
    <w:p w:rsidR="00AD4920" w:rsidRDefault="00AD4920" w:rsidP="003F0482">
      <w:pPr>
        <w:pStyle w:val="Bezproreda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6769" w:rsidRDefault="00AB6769" w:rsidP="00AB676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Strukturu</w:t>
      </w:r>
      <w:r w:rsidRPr="00AB6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B3323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izmjena i dopuna financijskog plana za 2024. godine čine:</w:t>
      </w:r>
    </w:p>
    <w:p w:rsidR="00AB6769" w:rsidRDefault="00AB6769" w:rsidP="00AB6769">
      <w:pPr>
        <w:pStyle w:val="Bezproreda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AB6769" w:rsidRP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C3F73">
        <w:rPr>
          <w:rFonts w:ascii="Times New Roman" w:hAnsi="Times New Roman"/>
          <w:sz w:val="24"/>
          <w:szCs w:val="24"/>
        </w:rPr>
        <w:t>728.962</w:t>
      </w:r>
      <w:r>
        <w:rPr>
          <w:rFonts w:ascii="Times New Roman" w:hAnsi="Times New Roman"/>
          <w:sz w:val="24"/>
          <w:szCs w:val="24"/>
        </w:rPr>
        <w:t>,00 EUR</w:t>
      </w:r>
      <w:r w:rsidRPr="00AB6769">
        <w:rPr>
          <w:rFonts w:ascii="Times New Roman" w:hAnsi="Times New Roman"/>
          <w:sz w:val="24"/>
          <w:szCs w:val="24"/>
        </w:rPr>
        <w:tab/>
        <w:t xml:space="preserve">   </w:t>
      </w:r>
      <w:r w:rsidRPr="00AB6769">
        <w:rPr>
          <w:rFonts w:ascii="Times New Roman" w:hAnsi="Times New Roman"/>
          <w:sz w:val="24"/>
          <w:szCs w:val="24"/>
        </w:rPr>
        <w:tab/>
      </w:r>
    </w:p>
    <w:p w:rsid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C3F73">
        <w:rPr>
          <w:rFonts w:ascii="Times New Roman" w:hAnsi="Times New Roman"/>
          <w:sz w:val="24"/>
          <w:szCs w:val="24"/>
        </w:rPr>
        <w:t>724.295</w:t>
      </w:r>
      <w:r>
        <w:rPr>
          <w:rFonts w:ascii="Times New Roman" w:hAnsi="Times New Roman"/>
          <w:sz w:val="24"/>
          <w:szCs w:val="24"/>
        </w:rPr>
        <w:t>,00 EUR</w:t>
      </w:r>
    </w:p>
    <w:p w:rsid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nefinancijske imovine         5.</w:t>
      </w:r>
      <w:r w:rsidR="008B3323">
        <w:rPr>
          <w:rFonts w:ascii="Times New Roman" w:hAnsi="Times New Roman"/>
          <w:sz w:val="24"/>
          <w:szCs w:val="24"/>
        </w:rPr>
        <w:t>407</w:t>
      </w:r>
      <w:r>
        <w:rPr>
          <w:rFonts w:ascii="Times New Roman" w:hAnsi="Times New Roman"/>
          <w:sz w:val="24"/>
          <w:szCs w:val="24"/>
        </w:rPr>
        <w:t>,00 EUR</w:t>
      </w:r>
    </w:p>
    <w:p w:rsidR="00AB6769" w:rsidRDefault="00AB6769" w:rsidP="00AB67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Preneseni višak iz prethodne godine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F2F73">
        <w:rPr>
          <w:rFonts w:ascii="Times New Roman" w:hAnsi="Times New Roman"/>
          <w:sz w:val="24"/>
          <w:szCs w:val="24"/>
        </w:rPr>
        <w:t>740</w:t>
      </w:r>
      <w:r>
        <w:rPr>
          <w:rFonts w:ascii="Times New Roman" w:hAnsi="Times New Roman"/>
          <w:sz w:val="24"/>
          <w:szCs w:val="24"/>
        </w:rPr>
        <w:t>,00 EUR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B6769" w:rsidRDefault="00AB6769" w:rsidP="00363AF1">
      <w:pPr>
        <w:pStyle w:val="Bezproreda"/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E8E" w:rsidRDefault="00F90E8E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867596" w:rsidRDefault="00867596" w:rsidP="00867596">
      <w:pPr>
        <w:pStyle w:val="Bezproreda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585555">
        <w:rPr>
          <w:rFonts w:ascii="Times New Roman" w:hAnsi="Times New Roman"/>
          <w:i/>
          <w:sz w:val="24"/>
          <w:szCs w:val="24"/>
        </w:rPr>
        <w:t>Ukupni prihodi</w:t>
      </w:r>
      <w:r w:rsidR="003F0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planirani su u iznosu 7</w:t>
      </w:r>
      <w:r w:rsidR="00961277">
        <w:rPr>
          <w:rFonts w:ascii="Times New Roman" w:hAnsi="Times New Roman"/>
          <w:sz w:val="24"/>
          <w:szCs w:val="24"/>
        </w:rPr>
        <w:t>28.962</w:t>
      </w:r>
      <w:r>
        <w:rPr>
          <w:rFonts w:ascii="Times New Roman" w:hAnsi="Times New Roman"/>
          <w:sz w:val="24"/>
          <w:szCs w:val="24"/>
        </w:rPr>
        <w:t>,00 eura.</w:t>
      </w:r>
    </w:p>
    <w:p w:rsidR="00867596" w:rsidRDefault="00867596" w:rsidP="0086759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1523"/>
      </w:tblGrid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UKUPNI PRIHODI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955802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728.962</w:t>
            </w:r>
            <w:r w:rsidR="00867596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Prihodi poslovanja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955802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728.962</w:t>
            </w:r>
            <w:r w:rsidR="00867596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iz nenadležnog proračuna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103B54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635.785</w:t>
            </w:r>
            <w:r w:rsidR="006150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955802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8675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867596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867596">
            <w:pPr>
              <w:pStyle w:val="Bezprored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iz nadležnog proračuna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103B54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92.352</w:t>
            </w:r>
            <w:r w:rsidR="006150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867596" w:rsidRDefault="00867596" w:rsidP="0086759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67596" w:rsidRDefault="00867596" w:rsidP="0086759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izvorima financiranja, prihodi </w:t>
      </w:r>
      <w:r w:rsidR="003F0482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>planirani kako slijedi: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1523"/>
      </w:tblGrid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Opći prihodi i primici </w:t>
            </w:r>
            <w:r w:rsidR="00802F75">
              <w:rPr>
                <w:rFonts w:ascii="Times New Roman" w:hAnsi="Times New Roman"/>
                <w:sz w:val="24"/>
                <w:szCs w:val="24"/>
              </w:rPr>
              <w:t>– nadležni proračun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811A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10.434</w:t>
            </w:r>
            <w:r w:rsidR="0086759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za posebne namjene</w:t>
            </w:r>
            <w:r w:rsidR="003F0482">
              <w:rPr>
                <w:rFonts w:ascii="Times New Roman" w:hAnsi="Times New Roman"/>
                <w:sz w:val="24"/>
                <w:szCs w:val="24"/>
              </w:rPr>
              <w:t xml:space="preserve"> – decentralizirana sredstva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75.845,00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296EB2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641.858</w:t>
            </w:r>
            <w:r w:rsidR="008811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811A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  <w:r w:rsidR="009E52B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7596" w:rsidTr="009E52B5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867596" w:rsidP="00585555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96" w:rsidRDefault="00296EB2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728.962</w:t>
            </w:r>
            <w:r w:rsidR="009E52B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867596" w:rsidRDefault="00867596" w:rsidP="00867596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:rsidR="00867596" w:rsidRDefault="00867596" w:rsidP="00867596">
      <w:pPr>
        <w:pStyle w:val="Bezproreda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poslovanja planirani su u iznosu od</w:t>
      </w:r>
      <w:r w:rsidR="009E52B5">
        <w:rPr>
          <w:rFonts w:ascii="Times New Roman" w:hAnsi="Times New Roman"/>
          <w:sz w:val="24"/>
          <w:szCs w:val="24"/>
        </w:rPr>
        <w:t xml:space="preserve"> </w:t>
      </w:r>
      <w:r w:rsidR="00922539">
        <w:rPr>
          <w:rFonts w:ascii="Times New Roman" w:hAnsi="Times New Roman"/>
          <w:sz w:val="24"/>
          <w:szCs w:val="24"/>
        </w:rPr>
        <w:t>728.962</w:t>
      </w:r>
      <w:r w:rsidR="009E52B5">
        <w:rPr>
          <w:rFonts w:ascii="Times New Roman" w:hAnsi="Times New Roman"/>
          <w:sz w:val="24"/>
          <w:szCs w:val="24"/>
        </w:rPr>
        <w:t>,00 eura</w:t>
      </w:r>
      <w:r>
        <w:rPr>
          <w:rFonts w:ascii="Times New Roman" w:hAnsi="Times New Roman"/>
          <w:sz w:val="24"/>
          <w:szCs w:val="24"/>
        </w:rPr>
        <w:t>.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Pomoći iz nenadležnog proračuna najvećim se dijelom odnose na pomoći od M</w:t>
      </w:r>
      <w:r w:rsidR="009E52B5">
        <w:rPr>
          <w:rFonts w:ascii="Times New Roman" w:hAnsi="Times New Roman"/>
          <w:sz w:val="24"/>
          <w:szCs w:val="24"/>
        </w:rPr>
        <w:t>inistarstva znanosti, obrazovanja i mladih</w:t>
      </w:r>
      <w:r>
        <w:rPr>
          <w:rFonts w:ascii="Times New Roman" w:hAnsi="Times New Roman"/>
          <w:sz w:val="24"/>
          <w:szCs w:val="24"/>
        </w:rPr>
        <w:t xml:space="preserve"> za financiranje rashoda za zaposlene koji se isplaćuju iz državnog proračuna i naknadu za nezapošljavanje invalida, na pomoći iz </w:t>
      </w:r>
      <w:r w:rsidR="009E52B5">
        <w:rPr>
          <w:rFonts w:ascii="Times New Roman" w:hAnsi="Times New Roman"/>
          <w:sz w:val="24"/>
          <w:szCs w:val="24"/>
        </w:rPr>
        <w:t>Ministarstva znanosti, obrazovanja i mladih</w:t>
      </w:r>
      <w:r>
        <w:rPr>
          <w:rFonts w:ascii="Times New Roman" w:hAnsi="Times New Roman"/>
          <w:sz w:val="24"/>
          <w:szCs w:val="24"/>
        </w:rPr>
        <w:t xml:space="preserve"> za nabavu udžbenika za učenike</w:t>
      </w:r>
      <w:r w:rsidR="009E52B5">
        <w:rPr>
          <w:rFonts w:ascii="Times New Roman" w:hAnsi="Times New Roman"/>
          <w:sz w:val="24"/>
          <w:szCs w:val="24"/>
        </w:rPr>
        <w:t>, za školsku prehranu te za opskrbu higijenskim potrepštinama za učenice.</w:t>
      </w:r>
      <w:r>
        <w:rPr>
          <w:rFonts w:ascii="Times New Roman" w:hAnsi="Times New Roman"/>
          <w:sz w:val="24"/>
          <w:szCs w:val="24"/>
        </w:rPr>
        <w:t xml:space="preserve"> Dio</w:t>
      </w:r>
      <w:r w:rsidR="00922539">
        <w:rPr>
          <w:rFonts w:ascii="Times New Roman" w:hAnsi="Times New Roman"/>
          <w:sz w:val="24"/>
          <w:szCs w:val="24"/>
        </w:rPr>
        <w:t xml:space="preserve"> pomoći</w:t>
      </w:r>
      <w:r>
        <w:rPr>
          <w:rFonts w:ascii="Times New Roman" w:hAnsi="Times New Roman"/>
          <w:sz w:val="24"/>
          <w:szCs w:val="24"/>
        </w:rPr>
        <w:t xml:space="preserve"> iz nenadležnog proračuna odnosi se na</w:t>
      </w:r>
      <w:r w:rsidR="00585555">
        <w:rPr>
          <w:rFonts w:ascii="Times New Roman" w:hAnsi="Times New Roman"/>
          <w:sz w:val="24"/>
          <w:szCs w:val="24"/>
        </w:rPr>
        <w:t xml:space="preserve"> sredstva</w:t>
      </w:r>
      <w:r>
        <w:rPr>
          <w:rFonts w:ascii="Times New Roman" w:hAnsi="Times New Roman"/>
          <w:sz w:val="24"/>
          <w:szCs w:val="24"/>
        </w:rPr>
        <w:t xml:space="preserve"> od </w:t>
      </w:r>
      <w:r w:rsidR="009E52B5">
        <w:rPr>
          <w:rFonts w:ascii="Times New Roman" w:hAnsi="Times New Roman"/>
          <w:sz w:val="24"/>
          <w:szCs w:val="24"/>
        </w:rPr>
        <w:t xml:space="preserve">Općine Lastovo </w:t>
      </w:r>
      <w:r>
        <w:rPr>
          <w:rFonts w:ascii="Times New Roman" w:hAnsi="Times New Roman"/>
          <w:sz w:val="24"/>
          <w:szCs w:val="24"/>
        </w:rPr>
        <w:t xml:space="preserve">za </w:t>
      </w:r>
      <w:r w:rsidR="009E52B5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financiranje </w:t>
      </w:r>
      <w:r w:rsidR="009E52B5">
        <w:rPr>
          <w:rFonts w:ascii="Times New Roman" w:hAnsi="Times New Roman"/>
          <w:sz w:val="24"/>
          <w:szCs w:val="24"/>
        </w:rPr>
        <w:t>smještaja učitelja</w:t>
      </w:r>
      <w:r w:rsidR="00DD6A80">
        <w:rPr>
          <w:rFonts w:ascii="Times New Roman" w:hAnsi="Times New Roman"/>
          <w:sz w:val="24"/>
          <w:szCs w:val="24"/>
        </w:rPr>
        <w:t>.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Donacije se odnose na</w:t>
      </w:r>
      <w:r w:rsidR="00DD6A80">
        <w:rPr>
          <w:rFonts w:ascii="Times New Roman" w:hAnsi="Times New Roman"/>
          <w:sz w:val="24"/>
          <w:szCs w:val="24"/>
        </w:rPr>
        <w:t xml:space="preserve"> ostvarene</w:t>
      </w:r>
      <w:r w:rsidR="009E52B5">
        <w:rPr>
          <w:rFonts w:ascii="Times New Roman" w:hAnsi="Times New Roman"/>
          <w:sz w:val="24"/>
          <w:szCs w:val="24"/>
        </w:rPr>
        <w:t xml:space="preserve"> </w:t>
      </w:r>
      <w:r w:rsidR="00DD6A80">
        <w:rPr>
          <w:rFonts w:ascii="Times New Roman" w:hAnsi="Times New Roman"/>
          <w:sz w:val="24"/>
          <w:szCs w:val="24"/>
        </w:rPr>
        <w:t xml:space="preserve">donacije Petrovog uha za potrebe djece, </w:t>
      </w:r>
      <w:r w:rsidR="009E52B5">
        <w:rPr>
          <w:rFonts w:ascii="Times New Roman" w:hAnsi="Times New Roman"/>
          <w:sz w:val="24"/>
          <w:szCs w:val="24"/>
        </w:rPr>
        <w:t>donacije fizičkih osoba za uređenje školsko</w:t>
      </w:r>
      <w:r w:rsidR="00DD6A80">
        <w:rPr>
          <w:rFonts w:ascii="Times New Roman" w:hAnsi="Times New Roman"/>
          <w:sz w:val="24"/>
          <w:szCs w:val="24"/>
        </w:rPr>
        <w:t xml:space="preserve">g dvorišta, donacije fizičkih osoba povodom Dana kruha 2024. za potrebe Škole te na donaciju FMF </w:t>
      </w:r>
      <w:proofErr w:type="spellStart"/>
      <w:r w:rsidR="00DD6A80">
        <w:rPr>
          <w:rFonts w:ascii="Times New Roman" w:hAnsi="Times New Roman"/>
          <w:sz w:val="24"/>
          <w:szCs w:val="24"/>
        </w:rPr>
        <w:t>j.d.o.o</w:t>
      </w:r>
      <w:proofErr w:type="spellEnd"/>
      <w:r w:rsidR="00DD6A80">
        <w:rPr>
          <w:rFonts w:ascii="Times New Roman" w:hAnsi="Times New Roman"/>
          <w:sz w:val="24"/>
          <w:szCs w:val="24"/>
        </w:rPr>
        <w:t>. za potrebe Škole</w:t>
      </w:r>
      <w:r w:rsidR="0022687D">
        <w:rPr>
          <w:rFonts w:ascii="Times New Roman" w:hAnsi="Times New Roman"/>
          <w:sz w:val="24"/>
          <w:szCs w:val="24"/>
        </w:rPr>
        <w:t>.</w:t>
      </w:r>
    </w:p>
    <w:p w:rsidR="00867596" w:rsidRDefault="00867596" w:rsidP="00867596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iz nadležnog proračun odnose se na </w:t>
      </w:r>
      <w:r w:rsidR="009E52B5">
        <w:rPr>
          <w:rFonts w:ascii="Times New Roman" w:hAnsi="Times New Roman"/>
          <w:sz w:val="24"/>
          <w:szCs w:val="24"/>
        </w:rPr>
        <w:t xml:space="preserve">sredstva </w:t>
      </w:r>
      <w:r w:rsidR="00585555">
        <w:rPr>
          <w:rFonts w:ascii="Times New Roman" w:hAnsi="Times New Roman"/>
          <w:sz w:val="24"/>
          <w:szCs w:val="24"/>
        </w:rPr>
        <w:t xml:space="preserve">osnivača </w:t>
      </w:r>
      <w:r w:rsidR="009E52B5">
        <w:rPr>
          <w:rFonts w:ascii="Times New Roman" w:hAnsi="Times New Roman"/>
          <w:sz w:val="24"/>
          <w:szCs w:val="24"/>
        </w:rPr>
        <w:t xml:space="preserve">Dubrovačko-neretvanske županije </w:t>
      </w:r>
      <w:r>
        <w:rPr>
          <w:rFonts w:ascii="Times New Roman" w:hAnsi="Times New Roman"/>
          <w:sz w:val="24"/>
          <w:szCs w:val="24"/>
        </w:rPr>
        <w:t xml:space="preserve">za </w:t>
      </w:r>
      <w:r w:rsidR="009E52B5">
        <w:rPr>
          <w:rFonts w:ascii="Times New Roman" w:hAnsi="Times New Roman"/>
          <w:sz w:val="24"/>
          <w:szCs w:val="24"/>
        </w:rPr>
        <w:t xml:space="preserve"> materijalne i financijske rashode za </w:t>
      </w:r>
      <w:r w:rsidR="00802F75">
        <w:rPr>
          <w:rFonts w:ascii="Times New Roman" w:hAnsi="Times New Roman"/>
          <w:sz w:val="24"/>
          <w:szCs w:val="24"/>
        </w:rPr>
        <w:t>redovno poslovanje</w:t>
      </w:r>
      <w:r w:rsidR="009E52B5">
        <w:rPr>
          <w:rFonts w:ascii="Times New Roman" w:hAnsi="Times New Roman"/>
          <w:sz w:val="24"/>
          <w:szCs w:val="24"/>
        </w:rPr>
        <w:t xml:space="preserve">, za </w:t>
      </w:r>
      <w:r w:rsidR="00A829D4">
        <w:rPr>
          <w:rFonts w:ascii="Times New Roman" w:hAnsi="Times New Roman"/>
          <w:sz w:val="24"/>
          <w:szCs w:val="24"/>
        </w:rPr>
        <w:t xml:space="preserve">financiranje </w:t>
      </w:r>
      <w:r w:rsidR="00802F75">
        <w:rPr>
          <w:rFonts w:ascii="Times New Roman" w:hAnsi="Times New Roman"/>
          <w:sz w:val="24"/>
          <w:szCs w:val="24"/>
        </w:rPr>
        <w:t xml:space="preserve">rashoda za </w:t>
      </w:r>
      <w:r w:rsidR="00DD6A80">
        <w:rPr>
          <w:rFonts w:ascii="Times New Roman" w:hAnsi="Times New Roman"/>
          <w:sz w:val="24"/>
          <w:szCs w:val="24"/>
        </w:rPr>
        <w:t xml:space="preserve">dva </w:t>
      </w:r>
      <w:r w:rsidR="00A829D4">
        <w:rPr>
          <w:rFonts w:ascii="Times New Roman" w:hAnsi="Times New Roman"/>
          <w:sz w:val="24"/>
          <w:szCs w:val="24"/>
        </w:rPr>
        <w:t>pomoćnika u nastavi,</w:t>
      </w:r>
      <w:r w:rsidR="00DD6A80">
        <w:rPr>
          <w:rFonts w:ascii="Times New Roman" w:hAnsi="Times New Roman"/>
          <w:sz w:val="24"/>
          <w:szCs w:val="24"/>
        </w:rPr>
        <w:t xml:space="preserve"> za nabavu radnih bilježnica za učenike te </w:t>
      </w:r>
      <w:r w:rsidR="00802F75">
        <w:rPr>
          <w:rFonts w:ascii="Times New Roman" w:hAnsi="Times New Roman"/>
          <w:sz w:val="24"/>
          <w:szCs w:val="24"/>
        </w:rPr>
        <w:t>za rješavanje imovinsko pravnih poslova</w:t>
      </w:r>
      <w:r w:rsidR="00DD6A80">
        <w:rPr>
          <w:rFonts w:ascii="Times New Roman" w:hAnsi="Times New Roman"/>
          <w:sz w:val="24"/>
          <w:szCs w:val="24"/>
        </w:rPr>
        <w:t>.</w:t>
      </w:r>
    </w:p>
    <w:p w:rsidR="00DF1A27" w:rsidRDefault="00DF1A27" w:rsidP="0058555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02F75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585555">
        <w:rPr>
          <w:rFonts w:ascii="Times New Roman" w:hAnsi="Times New Roman"/>
          <w:i/>
          <w:sz w:val="24"/>
          <w:szCs w:val="24"/>
        </w:rPr>
        <w:t>Ukupni rashodi</w:t>
      </w:r>
      <w:r>
        <w:rPr>
          <w:rFonts w:ascii="Times New Roman" w:hAnsi="Times New Roman"/>
          <w:sz w:val="24"/>
          <w:szCs w:val="24"/>
        </w:rPr>
        <w:t xml:space="preserve"> planirani su u iznosu </w:t>
      </w:r>
      <w:r w:rsidR="00922539">
        <w:rPr>
          <w:rFonts w:ascii="Times New Roman" w:hAnsi="Times New Roman"/>
          <w:sz w:val="24"/>
          <w:szCs w:val="24"/>
        </w:rPr>
        <w:t>729.702</w:t>
      </w:r>
      <w:r w:rsidR="00802F75">
        <w:rPr>
          <w:rFonts w:ascii="Times New Roman" w:hAnsi="Times New Roman"/>
          <w:sz w:val="24"/>
          <w:szCs w:val="24"/>
        </w:rPr>
        <w:t>,00 eura.</w:t>
      </w: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F1A27">
      <w:pPr>
        <w:pStyle w:val="Bezproreda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Pregled rashoda prema ekonomskoj klasifikaciji na razini skupine daje se u tabličnom prikazu: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515"/>
      </w:tblGrid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922539" w:rsidP="009225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729.702</w:t>
            </w:r>
            <w:r w:rsidR="00802F7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 w:rsidP="00DF1A27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Rashodi poslovanja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9225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724.295</w:t>
            </w:r>
            <w:r w:rsidR="00802F7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a) rashodi za zaposlene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92253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613.691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b) materijalni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92253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106.931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c) financijski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922539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naknade građanima iz proračuna u naravi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02F75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922539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ostali rashodi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02F75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77,00</w:t>
            </w:r>
          </w:p>
        </w:tc>
      </w:tr>
      <w:tr w:rsidR="00DF1A27" w:rsidTr="00DF1A27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 w:rsidP="00DF1A27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Rashodi za nabavu nefinancijske imovine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9225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5.407</w:t>
            </w:r>
            <w:r w:rsidR="00DF1A2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DF1A27" w:rsidRDefault="00DF1A27" w:rsidP="00DF1A2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F1A2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Prema izvorima financiranja, rashodi za 2024. godinu planirani su kako slijedi: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9"/>
        <w:gridCol w:w="1523"/>
      </w:tblGrid>
      <w:tr w:rsidR="00DF1A27" w:rsidTr="000E4FE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 – nadležni proračun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7E700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10.434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0E4FE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Vlastiti prihodi</w:t>
            </w:r>
            <w:r w:rsidR="007E700E">
              <w:rPr>
                <w:rFonts w:ascii="Times New Roman" w:hAnsi="Times New Roman"/>
                <w:sz w:val="24"/>
                <w:szCs w:val="24"/>
              </w:rPr>
              <w:t xml:space="preserve"> – prenesena sredstva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7E700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802F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0E4FE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za posebne namjene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7E700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75.845</w:t>
            </w:r>
            <w:r w:rsidR="000E4F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0E4FE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</w:t>
            </w:r>
            <w:r w:rsidR="007E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7E700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642.323</w:t>
            </w:r>
            <w:r w:rsidR="000E4F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0E4FE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7E700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  <w:r w:rsidR="000E4F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F1A27" w:rsidTr="000E4FEF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6E53F4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729.702</w:t>
            </w:r>
            <w:r w:rsidR="000E4FEF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DF1A27" w:rsidRDefault="00DF1A27" w:rsidP="00DF1A27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:rsidR="00DF1A27" w:rsidRDefault="00DF1A27" w:rsidP="00DF1A27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</w:t>
      </w:r>
      <w:r w:rsidR="00585555">
        <w:rPr>
          <w:rFonts w:ascii="Times New Roman" w:hAnsi="Times New Roman"/>
          <w:sz w:val="24"/>
          <w:szCs w:val="24"/>
        </w:rPr>
        <w:t>shodi</w:t>
      </w:r>
      <w:r>
        <w:rPr>
          <w:rFonts w:ascii="Times New Roman" w:hAnsi="Times New Roman"/>
          <w:sz w:val="24"/>
          <w:szCs w:val="24"/>
        </w:rPr>
        <w:t xml:space="preserve"> poslovanja planirani su u iznosu od</w:t>
      </w:r>
      <w:r w:rsidR="000E4FEF">
        <w:rPr>
          <w:rFonts w:ascii="Times New Roman" w:hAnsi="Times New Roman"/>
          <w:sz w:val="24"/>
          <w:szCs w:val="24"/>
        </w:rPr>
        <w:t xml:space="preserve"> </w:t>
      </w:r>
      <w:r w:rsidR="006E73BB">
        <w:rPr>
          <w:rFonts w:ascii="Times New Roman" w:hAnsi="Times New Roman"/>
          <w:sz w:val="24"/>
          <w:szCs w:val="24"/>
        </w:rPr>
        <w:t>729.702</w:t>
      </w:r>
      <w:r w:rsidR="000E4FEF">
        <w:rPr>
          <w:rFonts w:ascii="Times New Roman" w:hAnsi="Times New Roman"/>
          <w:sz w:val="24"/>
          <w:szCs w:val="24"/>
        </w:rPr>
        <w:t>,00 eura.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zaposlene odnose se na bruto plaće zaposlenika, pomoćnik</w:t>
      </w:r>
      <w:r w:rsidR="00DD6A8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 nastavi te na ostale rashode za zaposlene i doprinose na plaću.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 obuhvaćaju rashode za potrebe redovnog poslovanja (</w:t>
      </w:r>
      <w:r w:rsidR="00322F3D">
        <w:rPr>
          <w:rFonts w:ascii="Times New Roman" w:hAnsi="Times New Roman"/>
          <w:sz w:val="24"/>
          <w:szCs w:val="24"/>
        </w:rPr>
        <w:t>službena putovanja, stručno usavršavanje zaposlenika, uredski materijal i ostali materijalni rashodi, nabava namirnica za prehranu učenika, energija, materijal i usluge tekućeg održavanja, rashode za usluge telefona, pošte i prijevoza, zdravstvene usluge, računalne usluge i ostale usluge, intelektualne usluge, članarine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rashodi odnose se na usluge platnog prometa</w:t>
      </w:r>
      <w:r w:rsidR="00DD6A80">
        <w:rPr>
          <w:rFonts w:ascii="Times New Roman" w:hAnsi="Times New Roman"/>
          <w:sz w:val="24"/>
          <w:szCs w:val="24"/>
        </w:rPr>
        <w:t>.</w:t>
      </w:r>
    </w:p>
    <w:p w:rsidR="000E4FEF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Naknade građanima iz proračuna u naravi odnose se na nabavu </w:t>
      </w:r>
      <w:r w:rsidR="000E4FEF">
        <w:rPr>
          <w:rFonts w:ascii="Times New Roman" w:hAnsi="Times New Roman"/>
          <w:sz w:val="24"/>
          <w:szCs w:val="24"/>
        </w:rPr>
        <w:t>radnih bilježnica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0E4FEF">
        <w:rPr>
          <w:rFonts w:ascii="Times New Roman" w:hAnsi="Times New Roman"/>
          <w:sz w:val="24"/>
          <w:szCs w:val="24"/>
        </w:rPr>
        <w:t>koje financira Dubrovačko-neretvanska županija.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rashodi odnose se na nabavu higijenskih potrepština za učenice koje financira M</w:t>
      </w:r>
      <w:r w:rsidR="000E4FEF">
        <w:rPr>
          <w:rFonts w:ascii="Times New Roman" w:hAnsi="Times New Roman"/>
          <w:sz w:val="24"/>
          <w:szCs w:val="24"/>
        </w:rPr>
        <w:t>inistarstvo znanosti, obrazovanja i mladih</w:t>
      </w:r>
      <w:r>
        <w:rPr>
          <w:rFonts w:ascii="Times New Roman" w:hAnsi="Times New Roman"/>
          <w:sz w:val="24"/>
          <w:szCs w:val="24"/>
        </w:rPr>
        <w:t>.</w:t>
      </w:r>
    </w:p>
    <w:p w:rsidR="00DF1A27" w:rsidRDefault="00DF1A27" w:rsidP="00DF1A2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D6A80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</w:t>
      </w:r>
      <w:r w:rsidR="00DD6A80">
        <w:rPr>
          <w:rFonts w:ascii="Times New Roman" w:hAnsi="Times New Roman"/>
          <w:sz w:val="24"/>
          <w:szCs w:val="24"/>
        </w:rPr>
        <w:t>odnose se na nabavu udžbenika za sve učenike koje financira Ministarstvo</w:t>
      </w:r>
      <w:bookmarkStart w:id="0" w:name="_GoBack"/>
      <w:bookmarkEnd w:id="0"/>
      <w:r w:rsidR="00DD6A80">
        <w:rPr>
          <w:rFonts w:ascii="Times New Roman" w:hAnsi="Times New Roman"/>
          <w:sz w:val="24"/>
          <w:szCs w:val="24"/>
        </w:rPr>
        <w:t xml:space="preserve"> znanosti, obrazovanja i mladih.</w:t>
      </w:r>
    </w:p>
    <w:p w:rsidR="00DD6A80" w:rsidRDefault="00DD6A80" w:rsidP="00DD6A80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1A27" w:rsidRDefault="00B27FCE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Odluke o raspodjeli rezultata za 2023. godinu i Odluke o ispravku poslovnih događaja koji su u prethodnim godinama bili pogrešno evidentirani, utvrđen je novi iznos 922 </w:t>
      </w:r>
      <w:r w:rsidR="00DF1A27">
        <w:rPr>
          <w:rFonts w:ascii="Times New Roman" w:hAnsi="Times New Roman"/>
          <w:sz w:val="24"/>
          <w:szCs w:val="24"/>
        </w:rPr>
        <w:t>Višak</w:t>
      </w:r>
      <w:r>
        <w:rPr>
          <w:rFonts w:ascii="Times New Roman" w:hAnsi="Times New Roman"/>
          <w:sz w:val="24"/>
          <w:szCs w:val="24"/>
        </w:rPr>
        <w:t xml:space="preserve"> prihoda. Tako višak prihoda</w:t>
      </w:r>
      <w:r w:rsidR="00DF1A27">
        <w:rPr>
          <w:rFonts w:ascii="Times New Roman" w:hAnsi="Times New Roman"/>
          <w:sz w:val="24"/>
          <w:szCs w:val="24"/>
        </w:rPr>
        <w:t xml:space="preserve"> iz prethodne godine iznosi </w:t>
      </w:r>
      <w:r>
        <w:rPr>
          <w:rFonts w:ascii="Times New Roman" w:hAnsi="Times New Roman"/>
          <w:sz w:val="24"/>
          <w:szCs w:val="24"/>
        </w:rPr>
        <w:t>739,45</w:t>
      </w:r>
      <w:r w:rsidR="000E4FEF">
        <w:rPr>
          <w:rFonts w:ascii="Times New Roman" w:hAnsi="Times New Roman"/>
          <w:sz w:val="24"/>
          <w:szCs w:val="24"/>
        </w:rPr>
        <w:t>, 00 eura</w:t>
      </w:r>
      <w:r w:rsidR="00DF1A27">
        <w:rPr>
          <w:rFonts w:ascii="Times New Roman" w:hAnsi="Times New Roman"/>
          <w:sz w:val="24"/>
          <w:szCs w:val="24"/>
        </w:rPr>
        <w:t xml:space="preserve"> i potpuno se planira rasporediti u 2024. godini čime </w:t>
      </w:r>
      <w:r w:rsidR="000E4FEF">
        <w:rPr>
          <w:rFonts w:ascii="Times New Roman" w:hAnsi="Times New Roman"/>
          <w:sz w:val="24"/>
          <w:szCs w:val="24"/>
        </w:rPr>
        <w:t xml:space="preserve">nema obveze </w:t>
      </w:r>
      <w:r w:rsidR="00DF1A27">
        <w:rPr>
          <w:rFonts w:ascii="Times New Roman" w:hAnsi="Times New Roman"/>
          <w:sz w:val="24"/>
          <w:szCs w:val="24"/>
        </w:rPr>
        <w:t>izrade višegodišnjeg plana uravnoteženja</w:t>
      </w:r>
      <w:r>
        <w:rPr>
          <w:rFonts w:ascii="Times New Roman" w:hAnsi="Times New Roman"/>
          <w:sz w:val="24"/>
          <w:szCs w:val="24"/>
        </w:rPr>
        <w:t xml:space="preserve">. Utvrđeni manjak prihoda poslovanja – izvor Pomoći u iznosu od 251,97 eura predstavlja manjak za koji je Općina Lastovo uplatila sredstva kroz mjesec siječanj pa se nije rasporedio Odlukom. </w:t>
      </w:r>
      <w:r w:rsidR="00DF1A27">
        <w:rPr>
          <w:rFonts w:ascii="Times New Roman" w:hAnsi="Times New Roman"/>
          <w:sz w:val="24"/>
          <w:szCs w:val="24"/>
        </w:rPr>
        <w:t>Prema izvorima financiranja preneseni višak u 2024. godinu planira se kako slijedi:</w:t>
      </w:r>
    </w:p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0"/>
        <w:gridCol w:w="1512"/>
      </w:tblGrid>
      <w:tr w:rsidR="00DF1A27" w:rsidTr="000E4FEF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F09A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3.2.2. </w:t>
            </w:r>
            <w:r w:rsidR="00B27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6A80">
              <w:rPr>
                <w:rFonts w:ascii="Times New Roman" w:hAnsi="Times New Roman"/>
                <w:sz w:val="24"/>
                <w:szCs w:val="24"/>
              </w:rPr>
              <w:t xml:space="preserve">Vlastiti prihodi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0E4FEF" w:rsidP="000E4FE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  <w:r w:rsidR="00875D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1A27" w:rsidTr="000E4FEF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F09A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B27FCE">
              <w:rPr>
                <w:rFonts w:ascii="Times New Roman" w:hAnsi="Times New Roman"/>
                <w:sz w:val="24"/>
                <w:szCs w:val="24"/>
              </w:rPr>
              <w:t xml:space="preserve">8.2.   </w:t>
            </w:r>
            <w:r w:rsidR="00DF1A27">
              <w:rPr>
                <w:rFonts w:ascii="Times New Roman" w:hAnsi="Times New Roman"/>
                <w:sz w:val="24"/>
                <w:szCs w:val="24"/>
              </w:rPr>
              <w:t>Pomoći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8F09AE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464,8</w:t>
            </w:r>
            <w:r w:rsidR="00B27F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A27" w:rsidTr="000E4FEF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B27FC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6.2.2.   </w:t>
            </w:r>
            <w:r w:rsidR="00DF1A27"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0E4FEF" w:rsidP="000E4FEF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75D94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DF1A27" w:rsidTr="000E4FEF"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DF1A2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27" w:rsidRDefault="000E4FEF" w:rsidP="000E4FEF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B27FCE">
              <w:rPr>
                <w:rFonts w:ascii="Times New Roman" w:hAnsi="Times New Roman"/>
                <w:b/>
                <w:sz w:val="24"/>
                <w:szCs w:val="24"/>
              </w:rPr>
              <w:t>739,45</w:t>
            </w:r>
          </w:p>
        </w:tc>
      </w:tr>
    </w:tbl>
    <w:p w:rsidR="00DF1A27" w:rsidRDefault="00DF1A27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85555" w:rsidRDefault="00585555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1F6D" w:rsidRDefault="004C1F6D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1F6D" w:rsidRDefault="004C1F6D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1F6D" w:rsidRDefault="004C1F6D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1F6D" w:rsidRDefault="004C1F6D" w:rsidP="00DF1A27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1A27" w:rsidRDefault="00DF1A27" w:rsidP="00DF1A27">
      <w:pPr>
        <w:shd w:val="clear" w:color="auto" w:fill="FFFFFF"/>
        <w:jc w:val="both"/>
        <w:rPr>
          <w:rFonts w:eastAsia="Times New Roman"/>
          <w:szCs w:val="24"/>
        </w:rPr>
      </w:pPr>
    </w:p>
    <w:p w:rsidR="00DF1A27" w:rsidRPr="00DF1A27" w:rsidRDefault="00DF1A27" w:rsidP="00DF1A27">
      <w:pPr>
        <w:pStyle w:val="Odlomakpopisa"/>
        <w:numPr>
          <w:ilvl w:val="0"/>
          <w:numId w:val="11"/>
        </w:numPr>
        <w:shd w:val="clear" w:color="auto" w:fill="FFFFFF"/>
        <w:jc w:val="both"/>
        <w:rPr>
          <w:rFonts w:eastAsia="Times New Roman"/>
          <w:b/>
          <w:szCs w:val="24"/>
        </w:rPr>
      </w:pPr>
      <w:r w:rsidRPr="00DF1A27">
        <w:rPr>
          <w:rFonts w:eastAsia="Times New Roman"/>
          <w:b/>
          <w:szCs w:val="24"/>
        </w:rPr>
        <w:lastRenderedPageBreak/>
        <w:t>OBRAZLOŽENJE POSEBNOG DIJELA I</w:t>
      </w:r>
      <w:r w:rsidR="005B39FC">
        <w:rPr>
          <w:rFonts w:eastAsia="Times New Roman"/>
          <w:b/>
          <w:szCs w:val="24"/>
        </w:rPr>
        <w:t>I.</w:t>
      </w:r>
      <w:r w:rsidRPr="00DF1A27">
        <w:rPr>
          <w:rFonts w:eastAsia="Times New Roman"/>
          <w:b/>
          <w:szCs w:val="24"/>
        </w:rPr>
        <w:t xml:space="preserve"> IZMJENA I DOPUNA FINANCIJSKOG PLANA</w:t>
      </w:r>
    </w:p>
    <w:p w:rsidR="00DF1A27" w:rsidRPr="00DF1A27" w:rsidRDefault="00DF1A27" w:rsidP="00DF1A27">
      <w:pPr>
        <w:shd w:val="clear" w:color="auto" w:fill="FFFFFF"/>
        <w:jc w:val="both"/>
        <w:rPr>
          <w:rFonts w:eastAsia="Times New Roman"/>
          <w:b/>
          <w:szCs w:val="24"/>
        </w:rPr>
      </w:pPr>
    </w:p>
    <w:p w:rsidR="00F90E8E" w:rsidRDefault="0010261E" w:rsidP="0010261E">
      <w:pPr>
        <w:pStyle w:val="Bezproreda"/>
        <w:ind w:firstLine="360"/>
        <w:jc w:val="both"/>
        <w:rPr>
          <w:rFonts w:ascii="Times New Roman" w:hAnsi="Times New Roman"/>
          <w:sz w:val="24"/>
          <w:szCs w:val="24"/>
        </w:rPr>
      </w:pPr>
      <w:r w:rsidRPr="0010261E">
        <w:rPr>
          <w:rFonts w:ascii="Times New Roman" w:hAnsi="Times New Roman"/>
          <w:sz w:val="24"/>
          <w:szCs w:val="24"/>
        </w:rPr>
        <w:t>U nastavku su prikazane glavni projekti i aktivnosti te obrazlože</w:t>
      </w:r>
      <w:r w:rsidR="004853D8">
        <w:rPr>
          <w:rFonts w:ascii="Times New Roman" w:hAnsi="Times New Roman"/>
          <w:sz w:val="24"/>
          <w:szCs w:val="24"/>
        </w:rPr>
        <w:t>ne</w:t>
      </w:r>
      <w:r w:rsidRPr="0010261E">
        <w:rPr>
          <w:rFonts w:ascii="Times New Roman" w:hAnsi="Times New Roman"/>
          <w:sz w:val="24"/>
          <w:szCs w:val="24"/>
        </w:rPr>
        <w:t xml:space="preserve"> </w:t>
      </w:r>
      <w:r w:rsidR="004853D8">
        <w:rPr>
          <w:rFonts w:ascii="Times New Roman" w:hAnsi="Times New Roman"/>
          <w:sz w:val="24"/>
          <w:szCs w:val="24"/>
        </w:rPr>
        <w:t>istih.</w:t>
      </w:r>
    </w:p>
    <w:p w:rsidR="004C1F6D" w:rsidRPr="006A7229" w:rsidRDefault="004C1F6D" w:rsidP="004C1F6D">
      <w:pPr>
        <w:pStyle w:val="Bezproreda"/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735"/>
        <w:gridCol w:w="3812"/>
        <w:gridCol w:w="1253"/>
        <w:gridCol w:w="2184"/>
        <w:gridCol w:w="1372"/>
      </w:tblGrid>
      <w:tr w:rsidR="004C1F6D" w:rsidRPr="006A7229" w:rsidTr="00627A04">
        <w:tc>
          <w:tcPr>
            <w:tcW w:w="797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 Izmjene i dopune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povećanje/smanjenje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Izmjene i dopune</w:t>
            </w:r>
          </w:p>
        </w:tc>
      </w:tr>
      <w:tr w:rsidR="004C1F6D" w:rsidRPr="006A7229" w:rsidTr="00627A04">
        <w:tc>
          <w:tcPr>
            <w:tcW w:w="797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458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6.837,00</w:t>
            </w:r>
          </w:p>
        </w:tc>
        <w:tc>
          <w:tcPr>
            <w:tcW w:w="1418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+3.385,00</w:t>
            </w:r>
          </w:p>
        </w:tc>
        <w:tc>
          <w:tcPr>
            <w:tcW w:w="1417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10.222,00</w:t>
            </w:r>
          </w:p>
        </w:tc>
      </w:tr>
      <w:tr w:rsidR="004C1F6D" w:rsidRPr="006A7229" w:rsidTr="00627A04">
        <w:tc>
          <w:tcPr>
            <w:tcW w:w="797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458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702.346,00</w:t>
            </w:r>
          </w:p>
        </w:tc>
        <w:tc>
          <w:tcPr>
            <w:tcW w:w="1418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-2.413,00</w:t>
            </w:r>
          </w:p>
        </w:tc>
        <w:tc>
          <w:tcPr>
            <w:tcW w:w="1417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699.933,00</w:t>
            </w:r>
          </w:p>
        </w:tc>
      </w:tr>
      <w:tr w:rsidR="004C1F6D" w:rsidRPr="006A7229" w:rsidTr="00627A04">
        <w:tc>
          <w:tcPr>
            <w:tcW w:w="797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21.564,00</w:t>
            </w:r>
          </w:p>
        </w:tc>
        <w:tc>
          <w:tcPr>
            <w:tcW w:w="1418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-2.017,00</w:t>
            </w:r>
          </w:p>
        </w:tc>
        <w:tc>
          <w:tcPr>
            <w:tcW w:w="1417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19.547,00</w:t>
            </w:r>
          </w:p>
        </w:tc>
      </w:tr>
      <w:tr w:rsidR="004C1F6D" w:rsidRPr="006A7229" w:rsidTr="00627A04">
        <w:tc>
          <w:tcPr>
            <w:tcW w:w="797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730.747,00</w:t>
            </w:r>
          </w:p>
        </w:tc>
        <w:tc>
          <w:tcPr>
            <w:tcW w:w="1418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-1.045,00</w:t>
            </w:r>
          </w:p>
        </w:tc>
        <w:tc>
          <w:tcPr>
            <w:tcW w:w="1417" w:type="dxa"/>
            <w:vAlign w:val="center"/>
          </w:tcPr>
          <w:p w:rsidR="004C1F6D" w:rsidRPr="006A7229" w:rsidRDefault="004C1F6D" w:rsidP="00627A04">
            <w:pPr>
              <w:pStyle w:val="Bezproreda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729.702,00</w:t>
            </w:r>
          </w:p>
        </w:tc>
      </w:tr>
    </w:tbl>
    <w:p w:rsidR="004C1F6D" w:rsidRPr="006A7229" w:rsidRDefault="004C1F6D" w:rsidP="004C1F6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4C1F6D" w:rsidRPr="006A7229" w:rsidTr="00627A04">
        <w:tc>
          <w:tcPr>
            <w:tcW w:w="1985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1206 EU projekti</w:t>
            </w:r>
          </w:p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1F6D" w:rsidRPr="006A7229" w:rsidTr="00627A04">
        <w:tc>
          <w:tcPr>
            <w:tcW w:w="1985" w:type="dxa"/>
            <w:shd w:val="clear" w:color="auto" w:fill="auto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4C1F6D" w:rsidRPr="006A7229" w:rsidRDefault="004C1F6D" w:rsidP="00627A04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Povlačenje sredstava iz Fondova Europske Unije.</w:t>
            </w:r>
          </w:p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1F6D" w:rsidRPr="006A7229" w:rsidTr="00627A04">
        <w:trPr>
          <w:trHeight w:val="2359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Tekući projekt T120602 Europski socijalni fond – Projekt ZAJEDNO MOŽEMO SVE! – osiguravanje pomoćnika u nastavi za učenike s teškoćama</w:t>
            </w:r>
          </w:p>
          <w:p w:rsidR="004C1F6D" w:rsidRPr="004C1F6D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 xml:space="preserve">Program obuhvaća naknade plaća pomoćnicima u nastavi djeci s poteškoćama. Uračunati su troškovi ostalih naknada kao što su regres, božićnica, dar za dijete i </w:t>
            </w:r>
            <w:proofErr w:type="spellStart"/>
            <w:r w:rsidRPr="006A7229">
              <w:rPr>
                <w:rFonts w:ascii="Times New Roman" w:hAnsi="Times New Roman"/>
              </w:rPr>
              <w:t>uskrsnica</w:t>
            </w:r>
            <w:proofErr w:type="spellEnd"/>
            <w:r w:rsidRPr="006A7229">
              <w:rPr>
                <w:rFonts w:ascii="Times New Roman" w:hAnsi="Times New Roman"/>
              </w:rPr>
              <w:t>. Povećanjem bruto sata pomoćnika, kao i ostalih troškova, došlo je do povećanja ukupnog iznosa. Projekt se dijelom financira bespovratnim sredstvima EU u postotku 45,57% (izvor 5.6.1.), a dijelom iz proračuna DNŽ točnije u postotku 54,43% (izvor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4C1F6D" w:rsidRPr="006A7229" w:rsidTr="00627A04">
        <w:trPr>
          <w:trHeight w:val="847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B11B95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Povećanje u odnosu na I. izmjene i dopune jer prethodno nije planirana plaća, božićnica te dar za dijete za drugog pomoćnika u nastavi za učenika s teškoćama zaposlenog od 9. rujna 2024.</w:t>
            </w:r>
          </w:p>
        </w:tc>
      </w:tr>
      <w:tr w:rsidR="004C1F6D" w:rsidRPr="006A7229" w:rsidTr="00627A04">
        <w:tc>
          <w:tcPr>
            <w:tcW w:w="1985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1F6D" w:rsidRPr="006A7229" w:rsidTr="00627A04">
        <w:tc>
          <w:tcPr>
            <w:tcW w:w="1985" w:type="dxa"/>
            <w:shd w:val="clear" w:color="auto" w:fill="auto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4C1F6D" w:rsidRPr="006A7229" w:rsidRDefault="004C1F6D" w:rsidP="00627A04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shd w:val="clear" w:color="auto" w:fill="FFFFFF"/>
              </w:rPr>
      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 te plaće i ostali rashodi za zaposlene koji se osiguravaju u državnom proračunu.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A120701 Osiguravanje uvjeta rada za redovno poslovanje osnovnih škola</w:t>
            </w:r>
          </w:p>
        </w:tc>
      </w:tr>
      <w:tr w:rsidR="004C1F6D" w:rsidRPr="006A7229" w:rsidTr="00627A04">
        <w:trPr>
          <w:trHeight w:val="528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Razlog izmjene:</w:t>
            </w:r>
          </w:p>
        </w:tc>
        <w:tc>
          <w:tcPr>
            <w:tcW w:w="7371" w:type="dxa"/>
          </w:tcPr>
          <w:p w:rsidR="004C1F6D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Decentralizirana sredstva u iznosu od 62.960,00 eura raspoređena su preciznije po pozicijama, ali nedostatna za financiranje svih troškova redovnog poslovanja u 2024. godini. Naime, račun prijevoza učenika iz prosinca 2023. godine, podmiren je sredstvima iz 2024. godine u iznosu od 3.998,67 eura, a ukupan trošak prijevoza učenika za 2024. godini iznosi 52.406,74 eura. Stoga je u 2024. godini ne moguće planirati podmirenje cjelokupnog troška prijevoza učenika.</w:t>
            </w:r>
          </w:p>
          <w:p w:rsidR="004C1F6D" w:rsidRPr="000624D7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Planirana sredstva za plaće i ostali rashodi za zaposlene koji se osiguravaju u državnom proračunu smanjena su u odnosu na I. izmjene i dopune zbog preciznijeg utvrđivanja obračuna plaća s novim koeficijentima.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4C1F6D" w:rsidRPr="006A7229" w:rsidTr="00627A04">
        <w:trPr>
          <w:trHeight w:val="494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0154CC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 izmjene.</w:t>
            </w:r>
          </w:p>
        </w:tc>
      </w:tr>
      <w:tr w:rsidR="004C1F6D" w:rsidRPr="006A7229" w:rsidTr="00627A04">
        <w:tc>
          <w:tcPr>
            <w:tcW w:w="1985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</w:tc>
      </w:tr>
      <w:tr w:rsidR="004C1F6D" w:rsidRPr="006A7229" w:rsidTr="00627A04">
        <w:tc>
          <w:tcPr>
            <w:tcW w:w="1985" w:type="dxa"/>
            <w:shd w:val="clear" w:color="auto" w:fill="auto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lastRenderedPageBreak/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4C1F6D" w:rsidRPr="006A7229" w:rsidRDefault="004C1F6D" w:rsidP="00627A04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A7229">
              <w:rPr>
                <w:rFonts w:ascii="Times New Roman" w:hAnsi="Times New Roman"/>
              </w:rPr>
              <w:t>Programom javnih potreba iznad zakonskog standarda osnovnih škola osiguravaju se sredstva za: školska natjecanja iz znanja, športska natjecanja, školske projekte. Također su uključeni i veliki projekti poput financiranja udžbenika i radnih materijala za učenike osnovnih škola kao i produženi boravak u osnovnim školama. Ministarstvo znanosti</w:t>
            </w:r>
            <w:r>
              <w:rPr>
                <w:rFonts w:ascii="Times New Roman" w:hAnsi="Times New Roman"/>
              </w:rPr>
              <w:t>, o</w:t>
            </w:r>
            <w:r w:rsidRPr="006A7229">
              <w:rPr>
                <w:rFonts w:ascii="Times New Roman" w:hAnsi="Times New Roman"/>
              </w:rPr>
              <w:t>brazovanja</w:t>
            </w:r>
            <w:r>
              <w:rPr>
                <w:rFonts w:ascii="Times New Roman" w:hAnsi="Times New Roman"/>
              </w:rPr>
              <w:t xml:space="preserve"> i mladih</w:t>
            </w:r>
            <w:r w:rsidRPr="006A7229">
              <w:rPr>
                <w:rFonts w:ascii="Times New Roman" w:hAnsi="Times New Roman"/>
              </w:rPr>
              <w:t xml:space="preserve"> sredstvima Državnog proračuna financira isključivo udžbenike za obvezne i izborne nastavne predmete. Upravni odjel za obrazovanje, kulturu i sport financira radne materijale za obvezne radne bilježnice za redovne i izborne predmete, uključujući i radni materijal za izvođenje vježbi i praktičnog rada iz tehničke kulture te geografski atlas za učenike od </w:t>
            </w:r>
            <w:r>
              <w:rPr>
                <w:rFonts w:ascii="Times New Roman" w:hAnsi="Times New Roman"/>
              </w:rPr>
              <w:t>5</w:t>
            </w:r>
            <w:r w:rsidRPr="006A7229">
              <w:rPr>
                <w:rFonts w:ascii="Times New Roman" w:hAnsi="Times New Roman"/>
              </w:rPr>
              <w:t>. do 8. razreda osnovnih škola.</w:t>
            </w:r>
          </w:p>
          <w:p w:rsidR="004C1F6D" w:rsidRPr="006A7229" w:rsidRDefault="004C1F6D" w:rsidP="00627A04">
            <w:pPr>
              <w:pStyle w:val="Bezproreda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</w:rPr>
              <w:t>Upravni odjel za obrazovanje, kulturu i sport također prati proračunske korisnike u ostvarivanju i korištenju vlastitih i namjenskih prihoda i primitaka, rashoda i izdataka.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120801 Financiranje radnih materijala za učenike osnovnih škola</w:t>
            </w:r>
          </w:p>
        </w:tc>
      </w:tr>
      <w:tr w:rsidR="004C1F6D" w:rsidRPr="006A7229" w:rsidTr="00627A04">
        <w:trPr>
          <w:trHeight w:val="554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0154CC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0154CC">
              <w:rPr>
                <w:rFonts w:ascii="Times New Roman" w:hAnsi="Times New Roman"/>
              </w:rPr>
              <w:t>Povećanje u odnosu na I. izmjene i dopune</w:t>
            </w:r>
            <w:r>
              <w:rPr>
                <w:rFonts w:ascii="Times New Roman" w:hAnsi="Times New Roman"/>
              </w:rPr>
              <w:t xml:space="preserve"> za 63,00 eura temeljem provedene nabave radnih bilježnika za učenike i utvrđenog stvarnog troška.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4C1F6D" w:rsidRPr="006A7229" w:rsidTr="00627A04">
        <w:trPr>
          <w:trHeight w:val="442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0154CC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Smanjenje cjelokupnog iznosa u odnosu na I. Izmjene i dopune po uputi Osnivača.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4C1F6D" w:rsidRPr="006A7229" w:rsidTr="00627A04">
        <w:trPr>
          <w:trHeight w:val="491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0154CC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0154CC">
              <w:rPr>
                <w:rFonts w:ascii="Times New Roman" w:hAnsi="Times New Roman"/>
              </w:rPr>
              <w:t xml:space="preserve">Povećanje </w:t>
            </w:r>
            <w:r>
              <w:rPr>
                <w:rFonts w:ascii="Times New Roman" w:hAnsi="Times New Roman"/>
              </w:rPr>
              <w:t>u odnosu na I. Izmjene i dopune za 407,00 eura temeljem provedene nabave udžbenika za učenike i utvrđenog stvarnog troška.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4C1F6D" w:rsidRPr="006A7229" w:rsidTr="00627A04">
        <w:trPr>
          <w:trHeight w:val="494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2B3D9D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B3D9D">
              <w:rPr>
                <w:rFonts w:ascii="Times New Roman" w:hAnsi="Times New Roman"/>
              </w:rPr>
              <w:t>Smanjenje</w:t>
            </w:r>
            <w:r>
              <w:rPr>
                <w:rFonts w:ascii="Times New Roman" w:hAnsi="Times New Roman"/>
              </w:rPr>
              <w:t xml:space="preserve"> u odnosu na I. Izmjene i dopune nakon primljenih donacija, koje će se utrošiti namjenski.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4C1F6D" w:rsidRPr="006A7229" w:rsidTr="00627A04">
        <w:trPr>
          <w:trHeight w:val="487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2B3D9D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Smanjenje u odnosu na I. Izmjene i dopune jer nisu ostvareni prihodi od prodaje proizvoda učeničke zadruge, ali su uvrštena prenesena sredstva koja će se utrošiti namjenski.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4C1F6D" w:rsidRPr="006A7229" w:rsidTr="00627A04">
        <w:trPr>
          <w:trHeight w:val="509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2B3D9D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Smanjenje u odnosu na I. Izmjene i dopune temeljem broja učenika i nastavnih dana.</w:t>
            </w:r>
          </w:p>
        </w:tc>
      </w:tr>
      <w:tr w:rsidR="004C1F6D" w:rsidRPr="006A7229" w:rsidTr="00627A04"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6A7229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4C1F6D" w:rsidRPr="006A7229" w:rsidTr="00627A04">
        <w:trPr>
          <w:trHeight w:val="521"/>
        </w:trPr>
        <w:tc>
          <w:tcPr>
            <w:tcW w:w="1985" w:type="dxa"/>
            <w:vAlign w:val="center"/>
          </w:tcPr>
          <w:p w:rsidR="004C1F6D" w:rsidRPr="006A7229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Razlog izmjene:</w:t>
            </w:r>
          </w:p>
        </w:tc>
        <w:tc>
          <w:tcPr>
            <w:tcW w:w="7371" w:type="dxa"/>
          </w:tcPr>
          <w:p w:rsidR="004C1F6D" w:rsidRPr="002B3D9D" w:rsidRDefault="004C1F6D" w:rsidP="00627A04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 izmjene</w:t>
            </w:r>
            <w:r w:rsidRPr="002B3D9D">
              <w:rPr>
                <w:rFonts w:ascii="Times New Roman" w:hAnsi="Times New Roman"/>
              </w:rPr>
              <w:t>.</w:t>
            </w:r>
          </w:p>
        </w:tc>
      </w:tr>
    </w:tbl>
    <w:p w:rsidR="004C1F6D" w:rsidRDefault="004C1F6D" w:rsidP="004C1F6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4C1F6D" w:rsidRDefault="004C1F6D" w:rsidP="004C1F6D">
      <w:pPr>
        <w:pStyle w:val="Bezproreda"/>
        <w:shd w:val="clear" w:color="auto" w:fill="FFFFFF"/>
        <w:jc w:val="both"/>
        <w:rPr>
          <w:rFonts w:ascii="Times New Roman" w:hAnsi="Times New Roman"/>
        </w:rPr>
      </w:pPr>
    </w:p>
    <w:p w:rsidR="004853D8" w:rsidRDefault="004853D8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AF0347" w:rsidRDefault="00AF0347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F0347">
        <w:rPr>
          <w:rFonts w:ascii="Times New Roman" w:hAnsi="Times New Roman"/>
          <w:sz w:val="24"/>
          <w:szCs w:val="24"/>
        </w:rPr>
        <w:t>Lastovo,</w:t>
      </w:r>
      <w:r>
        <w:rPr>
          <w:rFonts w:ascii="Times New Roman" w:hAnsi="Times New Roman"/>
          <w:sz w:val="24"/>
          <w:szCs w:val="24"/>
        </w:rPr>
        <w:t xml:space="preserve"> </w:t>
      </w:r>
      <w:r w:rsidR="00AB1760">
        <w:rPr>
          <w:rFonts w:ascii="Times New Roman" w:hAnsi="Times New Roman"/>
          <w:sz w:val="24"/>
          <w:szCs w:val="24"/>
        </w:rPr>
        <w:t>26</w:t>
      </w:r>
      <w:r w:rsidR="0036109A">
        <w:rPr>
          <w:rFonts w:ascii="Times New Roman" w:hAnsi="Times New Roman"/>
          <w:sz w:val="24"/>
          <w:szCs w:val="24"/>
        </w:rPr>
        <w:t>. studenoga</w:t>
      </w:r>
      <w:r w:rsidR="00873313">
        <w:rPr>
          <w:rFonts w:ascii="Times New Roman" w:hAnsi="Times New Roman"/>
          <w:sz w:val="24"/>
          <w:szCs w:val="24"/>
        </w:rPr>
        <w:t xml:space="preserve"> </w:t>
      </w:r>
      <w:r w:rsidR="00DF619F">
        <w:rPr>
          <w:rFonts w:ascii="Times New Roman" w:hAnsi="Times New Roman"/>
          <w:sz w:val="24"/>
          <w:szCs w:val="24"/>
        </w:rPr>
        <w:t>2024. godine</w:t>
      </w:r>
    </w:p>
    <w:p w:rsidR="005B39FC" w:rsidRPr="00AF0347" w:rsidRDefault="005B39FC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F0347" w:rsidRDefault="00AF0347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4853D8" w:rsidRDefault="00585555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85555">
        <w:rPr>
          <w:rFonts w:ascii="Times New Roman" w:hAnsi="Times New Roman"/>
          <w:sz w:val="24"/>
          <w:szCs w:val="24"/>
        </w:rPr>
        <w:t>Voditeljica računovodstva u školi I</w:t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</w:r>
      <w:r w:rsidR="004853D8">
        <w:rPr>
          <w:rFonts w:ascii="Times New Roman" w:hAnsi="Times New Roman"/>
          <w:sz w:val="24"/>
          <w:szCs w:val="24"/>
        </w:rPr>
        <w:tab/>
        <w:t>Ravnateljica</w:t>
      </w:r>
    </w:p>
    <w:p w:rsidR="004853D8" w:rsidRDefault="004853D8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853D8" w:rsidRDefault="004853D8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853D8" w:rsidRPr="004853D8" w:rsidRDefault="004853D8" w:rsidP="00477A89">
      <w:pPr>
        <w:pStyle w:val="Bezproreda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Marinela Katić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Vedrana </w:t>
      </w:r>
      <w:proofErr w:type="spellStart"/>
      <w:r>
        <w:rPr>
          <w:rFonts w:ascii="Times New Roman" w:hAnsi="Times New Roman"/>
          <w:sz w:val="24"/>
          <w:szCs w:val="24"/>
        </w:rPr>
        <w:t>Ortika</w:t>
      </w:r>
      <w:proofErr w:type="spellEnd"/>
      <w:r>
        <w:rPr>
          <w:rFonts w:ascii="Times New Roman" w:hAnsi="Times New Roman"/>
          <w:sz w:val="24"/>
          <w:szCs w:val="24"/>
        </w:rPr>
        <w:t xml:space="preserve"> Medini</w:t>
      </w:r>
    </w:p>
    <w:p w:rsidR="004853D8" w:rsidRDefault="004853D8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p w:rsidR="00DA0C2B" w:rsidRDefault="00DA0C2B" w:rsidP="00477A89">
      <w:pPr>
        <w:pStyle w:val="Bezproreda"/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sectPr w:rsidR="00DA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E0" w:rsidRDefault="00D355E0" w:rsidP="00BD5B5D">
      <w:r>
        <w:separator/>
      </w:r>
    </w:p>
  </w:endnote>
  <w:endnote w:type="continuationSeparator" w:id="0">
    <w:p w:rsidR="00D355E0" w:rsidRDefault="00D355E0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E0" w:rsidRDefault="00D355E0" w:rsidP="00BD5B5D">
      <w:r>
        <w:separator/>
      </w:r>
    </w:p>
  </w:footnote>
  <w:footnote w:type="continuationSeparator" w:id="0">
    <w:p w:rsidR="00D355E0" w:rsidRDefault="00D355E0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1ABA"/>
    <w:multiLevelType w:val="hybridMultilevel"/>
    <w:tmpl w:val="B5D42F28"/>
    <w:lvl w:ilvl="0" w:tplc="9752B8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E305A"/>
    <w:multiLevelType w:val="hybridMultilevel"/>
    <w:tmpl w:val="9B56E11E"/>
    <w:lvl w:ilvl="0" w:tplc="49689C8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1462"/>
    <w:multiLevelType w:val="multilevel"/>
    <w:tmpl w:val="0D98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2" w:hanging="540"/>
      </w:p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3" w15:restartNumberingAfterBreak="0">
    <w:nsid w:val="41A054B0"/>
    <w:multiLevelType w:val="multilevel"/>
    <w:tmpl w:val="740A1FC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2" w:hanging="54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1776" w:hanging="72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2840" w:hanging="108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3904" w:hanging="144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4" w15:restartNumberingAfterBreak="0">
    <w:nsid w:val="52DD1F8F"/>
    <w:multiLevelType w:val="multilevel"/>
    <w:tmpl w:val="16BA4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2" w:hanging="540"/>
      </w:p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5" w15:restartNumberingAfterBreak="0">
    <w:nsid w:val="56CB6BBE"/>
    <w:multiLevelType w:val="hybridMultilevel"/>
    <w:tmpl w:val="6130EB3E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A8736EF"/>
    <w:multiLevelType w:val="multilevel"/>
    <w:tmpl w:val="35A2D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2" w:hanging="54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596" w:hanging="72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300" w:hanging="108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7" w15:restartNumberingAfterBreak="0">
    <w:nsid w:val="631742D1"/>
    <w:multiLevelType w:val="hybridMultilevel"/>
    <w:tmpl w:val="5A3C45E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9689C88">
      <w:start w:val="15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2" w:tplc="49689C88">
      <w:start w:val="15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4B54ED4"/>
    <w:multiLevelType w:val="hybridMultilevel"/>
    <w:tmpl w:val="40CAFA32"/>
    <w:lvl w:ilvl="0" w:tplc="A4B06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55BC"/>
    <w:multiLevelType w:val="hybridMultilevel"/>
    <w:tmpl w:val="BDA26D3E"/>
    <w:lvl w:ilvl="0" w:tplc="094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095B"/>
    <w:rsid w:val="00004BD2"/>
    <w:rsid w:val="00012CB0"/>
    <w:rsid w:val="00042291"/>
    <w:rsid w:val="00047FCA"/>
    <w:rsid w:val="00056AC4"/>
    <w:rsid w:val="00076C3C"/>
    <w:rsid w:val="000B3E5F"/>
    <w:rsid w:val="000E4FEF"/>
    <w:rsid w:val="000F6BB3"/>
    <w:rsid w:val="00100C50"/>
    <w:rsid w:val="0010261E"/>
    <w:rsid w:val="00103B54"/>
    <w:rsid w:val="0011710E"/>
    <w:rsid w:val="00120E59"/>
    <w:rsid w:val="001758B3"/>
    <w:rsid w:val="001803B7"/>
    <w:rsid w:val="001A0125"/>
    <w:rsid w:val="001A1DBE"/>
    <w:rsid w:val="001B018A"/>
    <w:rsid w:val="001C33DE"/>
    <w:rsid w:val="001D1205"/>
    <w:rsid w:val="00206869"/>
    <w:rsid w:val="00210D49"/>
    <w:rsid w:val="002163DA"/>
    <w:rsid w:val="0022687D"/>
    <w:rsid w:val="00226BEA"/>
    <w:rsid w:val="002409E0"/>
    <w:rsid w:val="00247077"/>
    <w:rsid w:val="002817FE"/>
    <w:rsid w:val="00296EB2"/>
    <w:rsid w:val="002C7B9D"/>
    <w:rsid w:val="002E572C"/>
    <w:rsid w:val="00322F3D"/>
    <w:rsid w:val="00356661"/>
    <w:rsid w:val="0036109A"/>
    <w:rsid w:val="00363AF1"/>
    <w:rsid w:val="00365A62"/>
    <w:rsid w:val="00384FD1"/>
    <w:rsid w:val="0039087A"/>
    <w:rsid w:val="00393E95"/>
    <w:rsid w:val="003D2F90"/>
    <w:rsid w:val="003E5583"/>
    <w:rsid w:val="003E67E2"/>
    <w:rsid w:val="003F0482"/>
    <w:rsid w:val="003F3223"/>
    <w:rsid w:val="00406D06"/>
    <w:rsid w:val="00410599"/>
    <w:rsid w:val="00433B27"/>
    <w:rsid w:val="004471C6"/>
    <w:rsid w:val="00451334"/>
    <w:rsid w:val="004611ED"/>
    <w:rsid w:val="00477A89"/>
    <w:rsid w:val="004853D8"/>
    <w:rsid w:val="0049059B"/>
    <w:rsid w:val="004A2678"/>
    <w:rsid w:val="004B0CDA"/>
    <w:rsid w:val="004C1F6D"/>
    <w:rsid w:val="004D5A3E"/>
    <w:rsid w:val="004E3D9D"/>
    <w:rsid w:val="004F4E21"/>
    <w:rsid w:val="004F5DB1"/>
    <w:rsid w:val="004F6855"/>
    <w:rsid w:val="00513F4C"/>
    <w:rsid w:val="0055383B"/>
    <w:rsid w:val="00585555"/>
    <w:rsid w:val="005A022C"/>
    <w:rsid w:val="005A1722"/>
    <w:rsid w:val="005B39FC"/>
    <w:rsid w:val="005D0271"/>
    <w:rsid w:val="005E13CC"/>
    <w:rsid w:val="00610901"/>
    <w:rsid w:val="00615036"/>
    <w:rsid w:val="00645D45"/>
    <w:rsid w:val="00661205"/>
    <w:rsid w:val="00663911"/>
    <w:rsid w:val="006A3856"/>
    <w:rsid w:val="006C698D"/>
    <w:rsid w:val="006E53F4"/>
    <w:rsid w:val="006E73BB"/>
    <w:rsid w:val="006F1186"/>
    <w:rsid w:val="006F2F73"/>
    <w:rsid w:val="00703F49"/>
    <w:rsid w:val="00715250"/>
    <w:rsid w:val="00746FFC"/>
    <w:rsid w:val="00780F31"/>
    <w:rsid w:val="007A1952"/>
    <w:rsid w:val="007A7050"/>
    <w:rsid w:val="007C1090"/>
    <w:rsid w:val="007C1BAB"/>
    <w:rsid w:val="007D1954"/>
    <w:rsid w:val="007E1ABC"/>
    <w:rsid w:val="007E3D19"/>
    <w:rsid w:val="007E68A1"/>
    <w:rsid w:val="007E700E"/>
    <w:rsid w:val="007F4477"/>
    <w:rsid w:val="00802F75"/>
    <w:rsid w:val="00823308"/>
    <w:rsid w:val="00825AF0"/>
    <w:rsid w:val="0084513B"/>
    <w:rsid w:val="00867596"/>
    <w:rsid w:val="00873313"/>
    <w:rsid w:val="00875D94"/>
    <w:rsid w:val="008811A9"/>
    <w:rsid w:val="0088771B"/>
    <w:rsid w:val="008A4C76"/>
    <w:rsid w:val="008B074E"/>
    <w:rsid w:val="008B3323"/>
    <w:rsid w:val="008B4C5A"/>
    <w:rsid w:val="008B65E5"/>
    <w:rsid w:val="008C3B97"/>
    <w:rsid w:val="008C4709"/>
    <w:rsid w:val="008C7E18"/>
    <w:rsid w:val="008F09AE"/>
    <w:rsid w:val="00922539"/>
    <w:rsid w:val="0094491F"/>
    <w:rsid w:val="00955802"/>
    <w:rsid w:val="009571A3"/>
    <w:rsid w:val="00961277"/>
    <w:rsid w:val="00962E92"/>
    <w:rsid w:val="00976275"/>
    <w:rsid w:val="00985535"/>
    <w:rsid w:val="00996195"/>
    <w:rsid w:val="009A1624"/>
    <w:rsid w:val="009D538B"/>
    <w:rsid w:val="009E52B5"/>
    <w:rsid w:val="00A0328A"/>
    <w:rsid w:val="00A21904"/>
    <w:rsid w:val="00A30E9D"/>
    <w:rsid w:val="00A34EBE"/>
    <w:rsid w:val="00A405D8"/>
    <w:rsid w:val="00A762FA"/>
    <w:rsid w:val="00A80091"/>
    <w:rsid w:val="00A829D4"/>
    <w:rsid w:val="00A90932"/>
    <w:rsid w:val="00A943FC"/>
    <w:rsid w:val="00A960A3"/>
    <w:rsid w:val="00AA3096"/>
    <w:rsid w:val="00AB1760"/>
    <w:rsid w:val="00AB6769"/>
    <w:rsid w:val="00AC23AF"/>
    <w:rsid w:val="00AC3F73"/>
    <w:rsid w:val="00AD4920"/>
    <w:rsid w:val="00AE12ED"/>
    <w:rsid w:val="00AE1A1F"/>
    <w:rsid w:val="00AF0347"/>
    <w:rsid w:val="00B25CCD"/>
    <w:rsid w:val="00B27FCE"/>
    <w:rsid w:val="00B32693"/>
    <w:rsid w:val="00B343C0"/>
    <w:rsid w:val="00B415DC"/>
    <w:rsid w:val="00B465BA"/>
    <w:rsid w:val="00B605FA"/>
    <w:rsid w:val="00B7466D"/>
    <w:rsid w:val="00B762E6"/>
    <w:rsid w:val="00B958F2"/>
    <w:rsid w:val="00BC48F0"/>
    <w:rsid w:val="00BD5B5D"/>
    <w:rsid w:val="00BF2CC6"/>
    <w:rsid w:val="00BF59FE"/>
    <w:rsid w:val="00C20523"/>
    <w:rsid w:val="00C23D8A"/>
    <w:rsid w:val="00C2731F"/>
    <w:rsid w:val="00C81892"/>
    <w:rsid w:val="00CB0EDF"/>
    <w:rsid w:val="00CB75E5"/>
    <w:rsid w:val="00CC0FC4"/>
    <w:rsid w:val="00CD1285"/>
    <w:rsid w:val="00CD1DCA"/>
    <w:rsid w:val="00D02599"/>
    <w:rsid w:val="00D355E0"/>
    <w:rsid w:val="00D45A5E"/>
    <w:rsid w:val="00D7079B"/>
    <w:rsid w:val="00D835B3"/>
    <w:rsid w:val="00D94D70"/>
    <w:rsid w:val="00DA0C2B"/>
    <w:rsid w:val="00DC3490"/>
    <w:rsid w:val="00DD6A80"/>
    <w:rsid w:val="00DF1A27"/>
    <w:rsid w:val="00DF619F"/>
    <w:rsid w:val="00E029FF"/>
    <w:rsid w:val="00E0441C"/>
    <w:rsid w:val="00E32490"/>
    <w:rsid w:val="00E33FC0"/>
    <w:rsid w:val="00E400EE"/>
    <w:rsid w:val="00E418BC"/>
    <w:rsid w:val="00E50009"/>
    <w:rsid w:val="00E540C8"/>
    <w:rsid w:val="00E60760"/>
    <w:rsid w:val="00E77041"/>
    <w:rsid w:val="00E87E64"/>
    <w:rsid w:val="00EA4750"/>
    <w:rsid w:val="00EB13BE"/>
    <w:rsid w:val="00EE78B3"/>
    <w:rsid w:val="00EF7202"/>
    <w:rsid w:val="00F22E38"/>
    <w:rsid w:val="00F33C32"/>
    <w:rsid w:val="00F54D2D"/>
    <w:rsid w:val="00F82E0C"/>
    <w:rsid w:val="00F90E8E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365A"/>
  <w15:docId w15:val="{06AC09C7-6DC4-4AF4-8C20-ABD81A0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962E92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1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125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D152-C558-4083-8981-A1400F73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Windows korisnik</cp:lastModifiedBy>
  <cp:revision>49</cp:revision>
  <cp:lastPrinted>2024-12-12T09:16:00Z</cp:lastPrinted>
  <dcterms:created xsi:type="dcterms:W3CDTF">2024-06-26T09:05:00Z</dcterms:created>
  <dcterms:modified xsi:type="dcterms:W3CDTF">2024-12-12T09:24:00Z</dcterms:modified>
</cp:coreProperties>
</file>